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30D25A">
      <w:pPr>
        <w:spacing w:line="276" w:lineRule="auto"/>
        <w:jc w:val="center"/>
        <w:rPr>
          <w:rFonts w:ascii="宋体" w:hAnsi="宋体" w:eastAsia="宋体" w:cs="宋体"/>
          <w:sz w:val="52"/>
          <w:szCs w:val="52"/>
        </w:rPr>
      </w:pPr>
    </w:p>
    <w:p w14:paraId="69D74471">
      <w:pPr>
        <w:spacing w:line="276" w:lineRule="auto"/>
        <w:jc w:val="center"/>
        <w:rPr>
          <w:rFonts w:ascii="宋体" w:hAnsi="宋体" w:eastAsia="宋体" w:cs="宋体"/>
          <w:b/>
          <w:sz w:val="52"/>
          <w:szCs w:val="52"/>
        </w:rPr>
      </w:pPr>
    </w:p>
    <w:p w14:paraId="38C212A2">
      <w:pPr>
        <w:spacing w:line="276" w:lineRule="auto"/>
        <w:jc w:val="center"/>
        <w:rPr>
          <w:rFonts w:cs="宋体" w:asciiTheme="majorEastAsia" w:hAnsiTheme="majorEastAsia" w:eastAsiaTheme="majorEastAsia"/>
          <w:b/>
          <w:sz w:val="84"/>
          <w:szCs w:val="84"/>
        </w:rPr>
      </w:pPr>
      <w:r>
        <w:rPr>
          <w:rFonts w:hint="eastAsia" w:cs="宋体" w:asciiTheme="majorEastAsia" w:hAnsiTheme="majorEastAsia" w:eastAsiaTheme="majorEastAsia"/>
          <w:b/>
          <w:sz w:val="84"/>
          <w:szCs w:val="84"/>
        </w:rPr>
        <w:t>社</w:t>
      </w:r>
    </w:p>
    <w:p w14:paraId="7F17813B">
      <w:pPr>
        <w:spacing w:line="276" w:lineRule="auto"/>
        <w:jc w:val="center"/>
        <w:rPr>
          <w:rFonts w:cs="宋体" w:asciiTheme="majorEastAsia" w:hAnsiTheme="majorEastAsia" w:eastAsiaTheme="majorEastAsia"/>
          <w:b/>
          <w:sz w:val="84"/>
          <w:szCs w:val="84"/>
        </w:rPr>
      </w:pPr>
      <w:r>
        <w:rPr>
          <w:rFonts w:hint="eastAsia" w:cs="宋体" w:asciiTheme="majorEastAsia" w:hAnsiTheme="majorEastAsia" w:eastAsiaTheme="majorEastAsia"/>
          <w:b/>
          <w:sz w:val="84"/>
          <w:szCs w:val="84"/>
        </w:rPr>
        <w:t>会</w:t>
      </w:r>
    </w:p>
    <w:p w14:paraId="6BB12B65">
      <w:pPr>
        <w:spacing w:line="276" w:lineRule="auto"/>
        <w:jc w:val="center"/>
        <w:rPr>
          <w:rFonts w:cs="宋体" w:asciiTheme="majorEastAsia" w:hAnsiTheme="majorEastAsia" w:eastAsiaTheme="majorEastAsia"/>
          <w:b/>
          <w:sz w:val="84"/>
          <w:szCs w:val="84"/>
        </w:rPr>
      </w:pPr>
      <w:r>
        <w:rPr>
          <w:rFonts w:hint="eastAsia" w:cs="宋体" w:asciiTheme="majorEastAsia" w:hAnsiTheme="majorEastAsia" w:eastAsiaTheme="majorEastAsia"/>
          <w:b/>
          <w:sz w:val="84"/>
          <w:szCs w:val="84"/>
        </w:rPr>
        <w:t>责</w:t>
      </w:r>
    </w:p>
    <w:p w14:paraId="143CCA25">
      <w:pPr>
        <w:spacing w:line="276" w:lineRule="auto"/>
        <w:jc w:val="center"/>
        <w:rPr>
          <w:rFonts w:cs="宋体" w:asciiTheme="majorEastAsia" w:hAnsiTheme="majorEastAsia" w:eastAsiaTheme="majorEastAsia"/>
          <w:b/>
          <w:sz w:val="84"/>
          <w:szCs w:val="84"/>
        </w:rPr>
      </w:pPr>
      <w:r>
        <w:rPr>
          <w:rFonts w:hint="eastAsia" w:cs="宋体" w:asciiTheme="majorEastAsia" w:hAnsiTheme="majorEastAsia" w:eastAsiaTheme="majorEastAsia"/>
          <w:b/>
          <w:sz w:val="84"/>
          <w:szCs w:val="84"/>
        </w:rPr>
        <w:t>任</w:t>
      </w:r>
    </w:p>
    <w:p w14:paraId="1587F649">
      <w:pPr>
        <w:spacing w:line="276" w:lineRule="auto"/>
        <w:jc w:val="center"/>
        <w:rPr>
          <w:rFonts w:cs="宋体" w:asciiTheme="majorEastAsia" w:hAnsiTheme="majorEastAsia" w:eastAsiaTheme="majorEastAsia"/>
          <w:b/>
          <w:sz w:val="84"/>
          <w:szCs w:val="84"/>
        </w:rPr>
      </w:pPr>
      <w:r>
        <w:rPr>
          <w:rFonts w:hint="eastAsia" w:cs="宋体" w:asciiTheme="majorEastAsia" w:hAnsiTheme="majorEastAsia" w:eastAsiaTheme="majorEastAsia"/>
          <w:b/>
          <w:sz w:val="84"/>
          <w:szCs w:val="84"/>
        </w:rPr>
        <w:t>报</w:t>
      </w:r>
    </w:p>
    <w:p w14:paraId="20873418">
      <w:pPr>
        <w:spacing w:line="276" w:lineRule="auto"/>
        <w:jc w:val="center"/>
        <w:rPr>
          <w:rFonts w:cs="宋体" w:asciiTheme="majorEastAsia" w:hAnsiTheme="majorEastAsia" w:eastAsiaTheme="majorEastAsia"/>
          <w:b/>
          <w:sz w:val="52"/>
          <w:szCs w:val="52"/>
        </w:rPr>
      </w:pPr>
      <w:r>
        <w:rPr>
          <w:rFonts w:hint="eastAsia" w:cs="宋体" w:asciiTheme="majorEastAsia" w:hAnsiTheme="majorEastAsia" w:eastAsiaTheme="majorEastAsia"/>
          <w:b/>
          <w:sz w:val="84"/>
          <w:szCs w:val="84"/>
        </w:rPr>
        <w:t>告</w:t>
      </w:r>
    </w:p>
    <w:p w14:paraId="764FB435">
      <w:pPr>
        <w:spacing w:line="276" w:lineRule="auto"/>
        <w:ind w:firstLine="3900" w:firstLineChars="750"/>
        <w:rPr>
          <w:rFonts w:ascii="宋体" w:hAnsi="宋体" w:eastAsia="宋体" w:cs="宋体"/>
          <w:sz w:val="52"/>
          <w:szCs w:val="52"/>
        </w:rPr>
      </w:pPr>
    </w:p>
    <w:p w14:paraId="1FA5DEBB">
      <w:pPr>
        <w:spacing w:line="276" w:lineRule="auto"/>
        <w:ind w:firstLine="3900" w:firstLineChars="750"/>
        <w:rPr>
          <w:rFonts w:ascii="宋体" w:hAnsi="宋体" w:eastAsia="宋体" w:cs="宋体"/>
          <w:sz w:val="52"/>
          <w:szCs w:val="52"/>
        </w:rPr>
      </w:pPr>
    </w:p>
    <w:p w14:paraId="33EF1D6E">
      <w:pPr>
        <w:spacing w:line="276" w:lineRule="auto"/>
        <w:jc w:val="center"/>
        <w:rPr>
          <w:rFonts w:ascii="宋体" w:hAnsi="宋体" w:eastAsia="宋体" w:cs="宋体"/>
          <w:sz w:val="36"/>
          <w:szCs w:val="44"/>
        </w:rPr>
      </w:pPr>
      <w:r>
        <w:rPr>
          <w:rFonts w:hint="eastAsia" w:ascii="宋体" w:hAnsi="宋体" w:eastAsia="宋体" w:cs="宋体"/>
          <w:sz w:val="36"/>
          <w:szCs w:val="44"/>
        </w:rPr>
        <w:t>浙江新颖铜业有限公司</w:t>
      </w:r>
    </w:p>
    <w:p w14:paraId="52CA78EB">
      <w:pPr>
        <w:widowControl/>
        <w:spacing w:line="276" w:lineRule="auto"/>
        <w:jc w:val="center"/>
        <w:rPr>
          <w:rFonts w:ascii="宋体" w:hAnsi="宋体" w:eastAsia="宋体" w:cs="宋体"/>
          <w:sz w:val="36"/>
          <w:szCs w:val="36"/>
        </w:rPr>
      </w:pPr>
      <w:r>
        <w:rPr>
          <w:rFonts w:hint="eastAsia" w:ascii="宋体" w:hAnsi="宋体" w:eastAsia="宋体" w:cs="宋体"/>
          <w:sz w:val="36"/>
          <w:szCs w:val="36"/>
        </w:rPr>
        <w:t>202</w:t>
      </w:r>
      <w:r>
        <w:rPr>
          <w:rFonts w:hint="eastAsia" w:ascii="宋体" w:hAnsi="宋体" w:eastAsia="宋体" w:cs="宋体"/>
          <w:sz w:val="36"/>
          <w:szCs w:val="36"/>
          <w:lang w:val="en-US" w:eastAsia="zh-CN"/>
        </w:rPr>
        <w:t>5</w:t>
      </w:r>
      <w:r>
        <w:rPr>
          <w:rFonts w:hint="eastAsia" w:ascii="宋体" w:hAnsi="宋体" w:eastAsia="宋体" w:cs="宋体"/>
          <w:sz w:val="36"/>
          <w:szCs w:val="36"/>
        </w:rPr>
        <w:t>年</w:t>
      </w:r>
      <w:bookmarkStart w:id="19" w:name="_GoBack"/>
      <w:bookmarkEnd w:id="19"/>
      <w:r>
        <w:rPr>
          <w:rFonts w:ascii="宋体" w:hAnsi="宋体" w:eastAsia="宋体" w:cs="宋体"/>
          <w:sz w:val="36"/>
          <w:szCs w:val="36"/>
        </w:rPr>
        <w:br w:type="page"/>
      </w:r>
    </w:p>
    <w:p w14:paraId="1C75F56F">
      <w:pPr>
        <w:spacing w:line="360" w:lineRule="auto"/>
        <w:ind w:firstLine="590" w:firstLineChars="196"/>
        <w:outlineLvl w:val="0"/>
        <w:rPr>
          <w:rFonts w:cs="Times New Roman" w:asciiTheme="majorEastAsia" w:hAnsiTheme="majorEastAsia" w:eastAsiaTheme="majorEastAsia"/>
          <w:b/>
          <w:sz w:val="30"/>
          <w:szCs w:val="30"/>
        </w:rPr>
      </w:pPr>
      <w:bookmarkStart w:id="0" w:name="_Toc451610891"/>
      <w:bookmarkStart w:id="1" w:name="_Toc451610984"/>
      <w:r>
        <w:rPr>
          <w:rFonts w:hint="eastAsia" w:cs="Times New Roman" w:asciiTheme="majorEastAsia" w:hAnsiTheme="majorEastAsia" w:eastAsiaTheme="majorEastAsia"/>
          <w:b/>
          <w:sz w:val="30"/>
          <w:szCs w:val="30"/>
        </w:rPr>
        <w:t>一、公司</w:t>
      </w:r>
      <w:r>
        <w:rPr>
          <w:rFonts w:cs="Times New Roman" w:asciiTheme="majorEastAsia" w:hAnsiTheme="majorEastAsia" w:eastAsiaTheme="majorEastAsia"/>
          <w:b/>
          <w:sz w:val="30"/>
          <w:szCs w:val="30"/>
        </w:rPr>
        <w:t>简介</w:t>
      </w:r>
    </w:p>
    <w:p w14:paraId="10BC1190">
      <w:pPr>
        <w:spacing w:line="360" w:lineRule="auto"/>
        <w:ind w:firstLine="560" w:firstLineChars="200"/>
        <w:rPr>
          <w:rFonts w:asciiTheme="minorEastAsia" w:hAnsiTheme="minorEastAsia"/>
          <w:sz w:val="28"/>
          <w:szCs w:val="28"/>
        </w:rPr>
      </w:pPr>
      <w:r>
        <w:rPr>
          <w:rFonts w:hint="eastAsia" w:asciiTheme="minorEastAsia" w:hAnsiTheme="minorEastAsia"/>
          <w:sz w:val="28"/>
          <w:szCs w:val="28"/>
        </w:rPr>
        <w:t>浙江新颖铜业有限公司创建于一九八三年，是一家集设计、研发、生产、销售和服务为一体的实力型企业，专业生产无铅青铜，铝青铜法兰，镍青铜地漏及黄铜阀门水暖器材成套系列产品。旗下拥有 “全卫”、“鑫匠” 等几大品牌。公司通过了ISO9001质量管理体系、ISO14001环境管理体系、ISO45001 职业健康安全管理体系认证，荷兰（KIWA）产品认证，美国CUPC产品认证， UL、澳大利亚PED、WATERMARK等众多国内、国际标准化质量体系和产品认证。公司下设模具车间、新样品开发车间、制芯车间、铸造车间、机加工车间、装配等六大车间，实现自主生产。先后引进阀门加工专用机床、数控机床、锻压设备，表面处理等机械加工设备，全程精细化质量控制。新颖公司立足浙江，放眼全球。志存高远，追求卓越！新颖人仍将继续发扬“团结人才、创造价值、服务客户、回报社会”的企业精神，以“新颖让生活更健康”为使命，结合“团结人才、创造价值、服务客户、回报社会”的发展理念，不断开拓创新、锐意进取，坚信引领中国水暖阀门新方向。我们坚持诚信经营宗旨、坚持质量第一的方针、 坚持客户至上的原则，为打造全国乃至全球知名品牌而不懈努力！</w:t>
      </w:r>
    </w:p>
    <w:p w14:paraId="3D082E13">
      <w:pPr>
        <w:spacing w:line="360" w:lineRule="auto"/>
        <w:ind w:firstLine="699" w:firstLineChars="232"/>
        <w:rPr>
          <w:rFonts w:ascii="宋体" w:hAnsi="宋体" w:eastAsia="宋体" w:cs="宋体"/>
          <w:b/>
          <w:sz w:val="30"/>
          <w:szCs w:val="30"/>
        </w:rPr>
      </w:pPr>
      <w:r>
        <w:rPr>
          <w:rFonts w:hint="eastAsia" w:ascii="宋体" w:hAnsi="宋体" w:eastAsia="宋体" w:cs="宋体"/>
          <w:b/>
          <w:sz w:val="30"/>
          <w:szCs w:val="30"/>
        </w:rPr>
        <w:t>二、公司战略理念</w:t>
      </w:r>
    </w:p>
    <w:p w14:paraId="1137629B">
      <w:pPr>
        <w:spacing w:line="360" w:lineRule="auto"/>
        <w:ind w:firstLine="551" w:firstLineChars="196"/>
        <w:rPr>
          <w:rFonts w:ascii="宋体" w:hAnsi="宋体"/>
          <w:b/>
          <w:bCs/>
          <w:sz w:val="28"/>
          <w:szCs w:val="28"/>
        </w:rPr>
      </w:pPr>
      <w:r>
        <w:rPr>
          <w:rFonts w:hint="eastAsia" w:ascii="宋体" w:hAnsi="宋体"/>
          <w:b/>
          <w:bCs/>
          <w:sz w:val="28"/>
          <w:szCs w:val="28"/>
        </w:rPr>
        <w:t>1、公司理念</w:t>
      </w:r>
    </w:p>
    <w:p w14:paraId="35B6836D">
      <w:pPr>
        <w:spacing w:line="360" w:lineRule="auto"/>
        <w:ind w:firstLine="570"/>
        <w:rPr>
          <w:rFonts w:ascii="宋体" w:hAnsi="宋体"/>
          <w:sz w:val="28"/>
          <w:szCs w:val="28"/>
        </w:rPr>
      </w:pPr>
      <w:r>
        <w:rPr>
          <w:rFonts w:hint="eastAsia" w:ascii="宋体" w:hAnsi="宋体"/>
          <w:sz w:val="28"/>
          <w:szCs w:val="28"/>
        </w:rPr>
        <w:t>公司理念是：</w:t>
      </w:r>
      <w:r>
        <w:rPr>
          <w:rFonts w:hint="eastAsia" w:asciiTheme="minorEastAsia" w:hAnsiTheme="minorEastAsia"/>
          <w:sz w:val="28"/>
          <w:szCs w:val="28"/>
        </w:rPr>
        <w:t>团结人才、创造价值、服务客户、回报社会</w:t>
      </w:r>
      <w:r>
        <w:rPr>
          <w:rFonts w:hint="eastAsia" w:ascii="宋体" w:hAnsi="宋体"/>
          <w:sz w:val="28"/>
          <w:szCs w:val="28"/>
        </w:rPr>
        <w:t>。</w:t>
      </w:r>
    </w:p>
    <w:p w14:paraId="6137C619">
      <w:pPr>
        <w:spacing w:line="360" w:lineRule="auto"/>
        <w:ind w:firstLine="551" w:firstLineChars="196"/>
        <w:rPr>
          <w:rFonts w:ascii="宋体" w:hAnsi="宋体"/>
          <w:b/>
          <w:bCs/>
          <w:sz w:val="28"/>
          <w:szCs w:val="28"/>
        </w:rPr>
      </w:pPr>
      <w:r>
        <w:rPr>
          <w:rFonts w:hint="eastAsia" w:ascii="宋体" w:hAnsi="宋体"/>
          <w:b/>
          <w:bCs/>
          <w:sz w:val="28"/>
          <w:szCs w:val="28"/>
        </w:rPr>
        <w:t>2、公司</w:t>
      </w:r>
      <w:bookmarkStart w:id="2" w:name="_Hlk143807206"/>
      <w:r>
        <w:rPr>
          <w:rFonts w:hint="eastAsia" w:ascii="宋体" w:hAnsi="宋体"/>
          <w:b/>
          <w:bCs/>
          <w:sz w:val="28"/>
          <w:szCs w:val="28"/>
        </w:rPr>
        <w:t>价值观</w:t>
      </w:r>
      <w:bookmarkEnd w:id="2"/>
    </w:p>
    <w:p w14:paraId="64EDFC48">
      <w:pPr>
        <w:spacing w:line="360" w:lineRule="auto"/>
        <w:ind w:firstLine="570"/>
        <w:rPr>
          <w:rFonts w:ascii="宋体" w:hAnsi="宋体"/>
          <w:sz w:val="28"/>
          <w:szCs w:val="28"/>
        </w:rPr>
      </w:pPr>
      <w:r>
        <w:rPr>
          <w:rFonts w:hint="eastAsia" w:ascii="宋体" w:hAnsi="宋体"/>
          <w:sz w:val="28"/>
          <w:szCs w:val="28"/>
        </w:rPr>
        <w:t>公司价值观是：创造成就未来。</w:t>
      </w:r>
    </w:p>
    <w:p w14:paraId="36B518E0">
      <w:pPr>
        <w:spacing w:line="360" w:lineRule="auto"/>
        <w:ind w:firstLine="562" w:firstLineChars="200"/>
        <w:rPr>
          <w:rFonts w:ascii="宋体" w:hAnsi="宋体"/>
          <w:b/>
          <w:bCs/>
          <w:sz w:val="28"/>
          <w:szCs w:val="28"/>
        </w:rPr>
      </w:pPr>
      <w:r>
        <w:rPr>
          <w:rFonts w:hint="eastAsia" w:ascii="宋体" w:hAnsi="宋体"/>
          <w:b/>
          <w:bCs/>
          <w:sz w:val="28"/>
          <w:szCs w:val="28"/>
        </w:rPr>
        <w:t>3、公司质量方针</w:t>
      </w:r>
    </w:p>
    <w:p w14:paraId="10131FA2">
      <w:pPr>
        <w:spacing w:line="360" w:lineRule="auto"/>
        <w:ind w:firstLine="548" w:firstLineChars="196"/>
        <w:jc w:val="left"/>
        <w:rPr>
          <w:rFonts w:ascii="黑体" w:hAnsi="黑体" w:eastAsia="黑体"/>
          <w:bCs/>
          <w:sz w:val="24"/>
          <w:szCs w:val="24"/>
        </w:rPr>
      </w:pPr>
      <w:r>
        <w:rPr>
          <w:rFonts w:hint="eastAsia" w:ascii="宋体" w:hAnsi="宋体"/>
          <w:sz w:val="28"/>
          <w:szCs w:val="28"/>
        </w:rPr>
        <w:t>公司质量方针是：以一流的技术和管理为客户提供一流的产品和服务。</w:t>
      </w:r>
    </w:p>
    <w:p w14:paraId="56710DF1">
      <w:pPr>
        <w:spacing w:line="360" w:lineRule="auto"/>
        <w:ind w:firstLine="590" w:firstLineChars="196"/>
        <w:outlineLvl w:val="0"/>
        <w:rPr>
          <w:rFonts w:cs="Times New Roman" w:asciiTheme="majorEastAsia" w:hAnsiTheme="majorEastAsia" w:eastAsiaTheme="majorEastAsia"/>
          <w:b/>
          <w:sz w:val="30"/>
          <w:szCs w:val="30"/>
        </w:rPr>
      </w:pPr>
      <w:r>
        <w:rPr>
          <w:rFonts w:hint="eastAsia" w:cs="Times New Roman" w:asciiTheme="majorEastAsia" w:hAnsiTheme="majorEastAsia" w:eastAsiaTheme="majorEastAsia"/>
          <w:b/>
          <w:sz w:val="30"/>
          <w:szCs w:val="30"/>
        </w:rPr>
        <w:t>三、</w:t>
      </w:r>
      <w:r>
        <w:rPr>
          <w:rFonts w:cs="Times New Roman" w:asciiTheme="majorEastAsia" w:hAnsiTheme="majorEastAsia" w:eastAsiaTheme="majorEastAsia"/>
          <w:b/>
          <w:sz w:val="30"/>
          <w:szCs w:val="30"/>
        </w:rPr>
        <w:t>组织架构</w:t>
      </w:r>
      <w:r>
        <w:rPr>
          <w:rFonts w:hint="eastAsia" w:cs="Times New Roman" w:asciiTheme="majorEastAsia" w:hAnsiTheme="majorEastAsia" w:eastAsiaTheme="majorEastAsia"/>
          <w:b/>
          <w:sz w:val="30"/>
          <w:szCs w:val="30"/>
        </w:rPr>
        <w:t>及</w:t>
      </w:r>
      <w:r>
        <w:rPr>
          <w:rFonts w:cs="Times New Roman" w:asciiTheme="majorEastAsia" w:hAnsiTheme="majorEastAsia" w:eastAsiaTheme="majorEastAsia"/>
          <w:b/>
          <w:sz w:val="30"/>
          <w:szCs w:val="30"/>
        </w:rPr>
        <w:t>主要产品</w:t>
      </w:r>
    </w:p>
    <w:p w14:paraId="2DEC6F99">
      <w:pPr>
        <w:spacing w:line="360" w:lineRule="auto"/>
        <w:ind w:firstLine="551" w:firstLineChars="196"/>
        <w:jc w:val="left"/>
        <w:rPr>
          <w:rFonts w:ascii="宋体" w:hAnsi="宋体"/>
          <w:b/>
          <w:bCs/>
          <w:sz w:val="28"/>
          <w:szCs w:val="28"/>
        </w:rPr>
      </w:pPr>
      <w:r>
        <w:rPr>
          <w:rFonts w:ascii="宋体" w:hAnsi="宋体"/>
          <w:b/>
          <w:bCs/>
          <w:sz w:val="28"/>
          <w:szCs w:val="28"/>
        </w:rPr>
        <w:t>1</w:t>
      </w:r>
      <w:r>
        <w:rPr>
          <w:rFonts w:hint="eastAsia" w:ascii="宋体" w:hAnsi="宋体"/>
          <w:b/>
          <w:bCs/>
          <w:sz w:val="28"/>
          <w:szCs w:val="28"/>
        </w:rPr>
        <w:t>、组织</w:t>
      </w:r>
      <w:r>
        <w:rPr>
          <w:rFonts w:ascii="宋体" w:hAnsi="宋体"/>
          <w:b/>
          <w:bCs/>
          <w:sz w:val="28"/>
          <w:szCs w:val="28"/>
        </w:rPr>
        <w:t>架构图</w:t>
      </w:r>
    </w:p>
    <w:p w14:paraId="3AC7C70D">
      <w:pPr>
        <w:spacing w:line="360" w:lineRule="auto"/>
        <w:jc w:val="center"/>
        <w:rPr>
          <w:rFonts w:ascii="宋体" w:hAnsi="宋体"/>
          <w:sz w:val="28"/>
          <w:szCs w:val="28"/>
        </w:rPr>
      </w:pPr>
      <w:r>
        <w:drawing>
          <wp:inline distT="0" distB="0" distL="0" distR="0">
            <wp:extent cx="4217035" cy="3773805"/>
            <wp:effectExtent l="0" t="0" r="0" b="0"/>
            <wp:docPr id="121936911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9369115" name="图片 1"/>
                    <pic:cNvPicPr>
                      <a:picLocks noChangeAspect="1"/>
                    </pic:cNvPicPr>
                  </pic:nvPicPr>
                  <pic:blipFill>
                    <a:blip r:embed="rId4"/>
                    <a:stretch>
                      <a:fillRect/>
                    </a:stretch>
                  </pic:blipFill>
                  <pic:spPr>
                    <a:xfrm>
                      <a:off x="0" y="0"/>
                      <a:ext cx="4222048" cy="3778291"/>
                    </a:xfrm>
                    <a:prstGeom prst="rect">
                      <a:avLst/>
                    </a:prstGeom>
                  </pic:spPr>
                </pic:pic>
              </a:graphicData>
            </a:graphic>
          </wp:inline>
        </w:drawing>
      </w:r>
    </w:p>
    <w:p w14:paraId="4BC09772">
      <w:pPr>
        <w:spacing w:line="360" w:lineRule="auto"/>
        <w:ind w:firstLine="551" w:firstLineChars="196"/>
        <w:jc w:val="left"/>
        <w:rPr>
          <w:rFonts w:ascii="宋体" w:hAnsi="宋体"/>
          <w:b/>
          <w:bCs/>
          <w:sz w:val="28"/>
          <w:szCs w:val="28"/>
        </w:rPr>
      </w:pPr>
      <w:r>
        <w:rPr>
          <w:rFonts w:hint="eastAsia" w:ascii="宋体" w:hAnsi="宋体"/>
          <w:b/>
          <w:bCs/>
          <w:sz w:val="28"/>
          <w:szCs w:val="28"/>
        </w:rPr>
        <w:t>2、</w:t>
      </w:r>
      <w:r>
        <w:rPr>
          <w:rFonts w:ascii="宋体" w:hAnsi="宋体"/>
          <w:b/>
          <w:bCs/>
          <w:sz w:val="28"/>
          <w:szCs w:val="28"/>
        </w:rPr>
        <w:t>主要产品</w:t>
      </w:r>
    </w:p>
    <w:p w14:paraId="082D9A0B">
      <w:pPr>
        <w:spacing w:line="360" w:lineRule="auto"/>
        <w:ind w:firstLine="548" w:firstLineChars="196"/>
        <w:jc w:val="left"/>
        <w:rPr>
          <w:rFonts w:ascii="宋体" w:hAnsi="宋体"/>
          <w:sz w:val="28"/>
          <w:szCs w:val="28"/>
        </w:rPr>
      </w:pPr>
      <w:r>
        <w:rPr>
          <w:rFonts w:hint="eastAsia" w:ascii="宋体" w:hAnsi="宋体"/>
          <w:sz w:val="28"/>
          <w:szCs w:val="28"/>
        </w:rPr>
        <w:t>机械密封式铜合金地漏</w:t>
      </w:r>
    </w:p>
    <w:p w14:paraId="288C0EAF">
      <w:pPr>
        <w:spacing w:line="360" w:lineRule="auto"/>
        <w:ind w:firstLine="590" w:firstLineChars="196"/>
        <w:outlineLvl w:val="0"/>
        <w:rPr>
          <w:rFonts w:cs="Times New Roman" w:asciiTheme="majorEastAsia" w:hAnsiTheme="majorEastAsia" w:eastAsiaTheme="majorEastAsia"/>
          <w:b/>
          <w:sz w:val="30"/>
          <w:szCs w:val="30"/>
        </w:rPr>
      </w:pPr>
      <w:r>
        <w:rPr>
          <w:rFonts w:hint="eastAsia" w:cs="Times New Roman" w:asciiTheme="majorEastAsia" w:hAnsiTheme="majorEastAsia" w:eastAsiaTheme="majorEastAsia"/>
          <w:b/>
          <w:sz w:val="30"/>
          <w:szCs w:val="30"/>
        </w:rPr>
        <w:t>四、经济责任</w:t>
      </w:r>
      <w:bookmarkEnd w:id="0"/>
      <w:bookmarkEnd w:id="1"/>
      <w:bookmarkStart w:id="3" w:name="_Toc451610892"/>
      <w:bookmarkStart w:id="4" w:name="_Toc451610985"/>
    </w:p>
    <w:p w14:paraId="52EF32DE">
      <w:pPr>
        <w:spacing w:line="360" w:lineRule="auto"/>
        <w:ind w:firstLine="551" w:firstLineChars="196"/>
        <w:outlineLvl w:val="0"/>
        <w:rPr>
          <w:rFonts w:cs="Times New Roman" w:asciiTheme="majorEastAsia" w:hAnsiTheme="majorEastAsia" w:eastAsiaTheme="majorEastAsia"/>
          <w:b/>
          <w:sz w:val="28"/>
          <w:szCs w:val="28"/>
        </w:rPr>
      </w:pPr>
      <w:r>
        <w:rPr>
          <w:rFonts w:hint="eastAsia" w:cs="Times New Roman" w:asciiTheme="majorEastAsia" w:hAnsiTheme="majorEastAsia" w:eastAsiaTheme="majorEastAsia"/>
          <w:b/>
          <w:sz w:val="28"/>
          <w:szCs w:val="28"/>
        </w:rPr>
        <w:t>（一）战略方向</w:t>
      </w:r>
      <w:bookmarkEnd w:id="3"/>
      <w:bookmarkEnd w:id="4"/>
    </w:p>
    <w:p w14:paraId="4BECB180">
      <w:pPr>
        <w:spacing w:line="360" w:lineRule="auto"/>
        <w:ind w:firstLine="551" w:firstLineChars="196"/>
        <w:outlineLvl w:val="0"/>
        <w:rPr>
          <w:rFonts w:cs="Times New Roman" w:asciiTheme="majorEastAsia" w:hAnsiTheme="majorEastAsia" w:eastAsiaTheme="majorEastAsia"/>
          <w:b/>
          <w:sz w:val="28"/>
          <w:szCs w:val="28"/>
        </w:rPr>
      </w:pPr>
      <w:r>
        <w:rPr>
          <w:rFonts w:hint="eastAsia" w:asciiTheme="majorEastAsia" w:hAnsiTheme="majorEastAsia" w:eastAsiaTheme="majorEastAsia"/>
          <w:b/>
          <w:sz w:val="28"/>
          <w:szCs w:val="28"/>
        </w:rPr>
        <w:t>（1）</w:t>
      </w:r>
      <w:r>
        <w:rPr>
          <w:rFonts w:asciiTheme="majorEastAsia" w:hAnsiTheme="majorEastAsia" w:eastAsiaTheme="majorEastAsia"/>
          <w:b/>
          <w:sz w:val="28"/>
          <w:szCs w:val="28"/>
        </w:rPr>
        <w:t>长、中、短期主要战略目标</w:t>
      </w:r>
    </w:p>
    <w:p w14:paraId="195AD401">
      <w:pPr>
        <w:spacing w:line="360" w:lineRule="auto"/>
        <w:ind w:firstLine="560" w:firstLineChars="200"/>
        <w:rPr>
          <w:rFonts w:asciiTheme="minorEastAsia" w:hAnsiTheme="minorEastAsia"/>
          <w:sz w:val="28"/>
          <w:szCs w:val="28"/>
        </w:rPr>
      </w:pPr>
      <w:r>
        <w:rPr>
          <w:rFonts w:asciiTheme="minorEastAsia" w:hAnsiTheme="minorEastAsia"/>
          <w:sz w:val="28"/>
          <w:szCs w:val="28"/>
        </w:rPr>
        <w:t>公司</w:t>
      </w:r>
      <w:r>
        <w:rPr>
          <w:rFonts w:hint="eastAsia" w:asciiTheme="minorEastAsia" w:hAnsiTheme="minorEastAsia"/>
          <w:sz w:val="28"/>
          <w:szCs w:val="28"/>
        </w:rPr>
        <w:t>秉持“团结人才、创造价值、服务客户、回报社会”的经营理念</w:t>
      </w:r>
      <w:r>
        <w:rPr>
          <w:rFonts w:asciiTheme="minorEastAsia" w:hAnsiTheme="minorEastAsia"/>
          <w:sz w:val="28"/>
          <w:szCs w:val="28"/>
        </w:rPr>
        <w:t>，为客户提供满意的产品和可信赖的服务，</w:t>
      </w:r>
      <w:r>
        <w:rPr>
          <w:rFonts w:hint="eastAsia" w:asciiTheme="minorEastAsia" w:hAnsiTheme="minorEastAsia"/>
          <w:sz w:val="28"/>
          <w:szCs w:val="28"/>
        </w:rPr>
        <w:t>不断</w:t>
      </w:r>
      <w:r>
        <w:rPr>
          <w:rFonts w:asciiTheme="minorEastAsia" w:hAnsiTheme="minorEastAsia"/>
          <w:sz w:val="28"/>
          <w:szCs w:val="28"/>
        </w:rPr>
        <w:t>巩固和提高</w:t>
      </w:r>
      <w:r>
        <w:rPr>
          <w:rFonts w:hint="eastAsia" w:asciiTheme="minorEastAsia" w:hAnsiTheme="minorEastAsia"/>
          <w:sz w:val="28"/>
          <w:szCs w:val="28"/>
        </w:rPr>
        <w:t>在行业的</w:t>
      </w:r>
      <w:r>
        <w:rPr>
          <w:rFonts w:asciiTheme="minorEastAsia" w:hAnsiTheme="minorEastAsia"/>
          <w:sz w:val="28"/>
          <w:szCs w:val="28"/>
        </w:rPr>
        <w:t>领先地位</w:t>
      </w:r>
      <w:r>
        <w:rPr>
          <w:rFonts w:hint="eastAsia" w:asciiTheme="minorEastAsia" w:hAnsiTheme="minorEastAsia"/>
          <w:sz w:val="28"/>
          <w:szCs w:val="28"/>
        </w:rPr>
        <w:t>。</w:t>
      </w:r>
    </w:p>
    <w:p w14:paraId="3DDC9973">
      <w:pPr>
        <w:spacing w:line="360" w:lineRule="auto"/>
        <w:ind w:firstLine="560" w:firstLineChars="200"/>
        <w:rPr>
          <w:rFonts w:asciiTheme="minorEastAsia" w:hAnsiTheme="minorEastAsia"/>
          <w:sz w:val="28"/>
          <w:szCs w:val="28"/>
        </w:rPr>
      </w:pPr>
      <w:r>
        <w:rPr>
          <w:rFonts w:hint="eastAsia" w:asciiTheme="minorEastAsia" w:hAnsiTheme="minorEastAsia"/>
          <w:sz w:val="28"/>
          <w:szCs w:val="28"/>
        </w:rPr>
        <w:t>公司不断加大研发创新投入、加强研发创新力度，提升产品品质；</w:t>
      </w:r>
      <w:r>
        <w:rPr>
          <w:rFonts w:asciiTheme="minorEastAsia" w:hAnsiTheme="minorEastAsia"/>
          <w:sz w:val="28"/>
          <w:szCs w:val="28"/>
        </w:rPr>
        <w:t>继续</w:t>
      </w:r>
      <w:r>
        <w:rPr>
          <w:rFonts w:hint="eastAsia" w:asciiTheme="minorEastAsia" w:hAnsiTheme="minorEastAsia"/>
          <w:sz w:val="28"/>
          <w:szCs w:val="28"/>
        </w:rPr>
        <w:t>推进高端制造</w:t>
      </w:r>
      <w:r>
        <w:rPr>
          <w:rFonts w:asciiTheme="minorEastAsia" w:hAnsiTheme="minorEastAsia"/>
          <w:sz w:val="28"/>
          <w:szCs w:val="28"/>
        </w:rPr>
        <w:t>，</w:t>
      </w:r>
      <w:r>
        <w:rPr>
          <w:rFonts w:hint="eastAsia" w:asciiTheme="minorEastAsia" w:hAnsiTheme="minorEastAsia"/>
          <w:sz w:val="28"/>
          <w:szCs w:val="28"/>
        </w:rPr>
        <w:t>不断夯实提供优质产品的全面能力；推行品牌战略，提高产品知名度；建立生态供应链，关注上下游供应链健康；大力引进专业人才，提升公司经营各个环节的专业度；整合各方资源，</w:t>
      </w:r>
      <w:r>
        <w:rPr>
          <w:rFonts w:asciiTheme="minorEastAsia" w:hAnsiTheme="minorEastAsia"/>
          <w:sz w:val="28"/>
          <w:szCs w:val="28"/>
        </w:rPr>
        <w:t>大力</w:t>
      </w:r>
      <w:r>
        <w:rPr>
          <w:rFonts w:hint="eastAsia" w:asciiTheme="minorEastAsia" w:hAnsiTheme="minorEastAsia"/>
          <w:sz w:val="28"/>
          <w:szCs w:val="28"/>
        </w:rPr>
        <w:t>推行</w:t>
      </w:r>
      <w:r>
        <w:rPr>
          <w:rFonts w:asciiTheme="minorEastAsia" w:hAnsiTheme="minorEastAsia"/>
          <w:sz w:val="28"/>
          <w:szCs w:val="28"/>
        </w:rPr>
        <w:t>商业模式</w:t>
      </w:r>
      <w:r>
        <w:rPr>
          <w:rFonts w:hint="eastAsia" w:asciiTheme="minorEastAsia" w:hAnsiTheme="minorEastAsia"/>
          <w:sz w:val="28"/>
          <w:szCs w:val="28"/>
        </w:rPr>
        <w:t>创新</w:t>
      </w:r>
      <w:r>
        <w:rPr>
          <w:rFonts w:asciiTheme="minorEastAsia" w:hAnsiTheme="minorEastAsia"/>
          <w:sz w:val="28"/>
          <w:szCs w:val="28"/>
        </w:rPr>
        <w:t>和</w:t>
      </w:r>
      <w:r>
        <w:rPr>
          <w:rFonts w:hint="eastAsia" w:asciiTheme="minorEastAsia" w:hAnsiTheme="minorEastAsia"/>
          <w:sz w:val="28"/>
          <w:szCs w:val="28"/>
        </w:rPr>
        <w:t>管理模式创新</w:t>
      </w:r>
      <w:r>
        <w:rPr>
          <w:rFonts w:asciiTheme="minorEastAsia" w:hAnsiTheme="minorEastAsia"/>
          <w:sz w:val="28"/>
          <w:szCs w:val="28"/>
        </w:rPr>
        <w:t>。</w:t>
      </w:r>
    </w:p>
    <w:p w14:paraId="5CCC675A">
      <w:pPr>
        <w:pStyle w:val="50"/>
        <w:spacing w:line="360" w:lineRule="auto"/>
        <w:ind w:left="482" w:firstLine="0" w:firstLineChars="0"/>
        <w:rPr>
          <w:rFonts w:asciiTheme="majorEastAsia" w:hAnsiTheme="majorEastAsia" w:eastAsiaTheme="majorEastAsia"/>
          <w:b/>
          <w:sz w:val="28"/>
          <w:szCs w:val="28"/>
        </w:rPr>
      </w:pPr>
      <w:r>
        <w:rPr>
          <w:rFonts w:hint="eastAsia" w:asciiTheme="majorEastAsia" w:hAnsiTheme="majorEastAsia" w:eastAsiaTheme="majorEastAsia"/>
          <w:b/>
          <w:sz w:val="28"/>
          <w:szCs w:val="28"/>
        </w:rPr>
        <w:t>（2）</w:t>
      </w:r>
      <w:r>
        <w:rPr>
          <w:rFonts w:asciiTheme="majorEastAsia" w:hAnsiTheme="majorEastAsia" w:eastAsiaTheme="majorEastAsia"/>
          <w:b/>
          <w:sz w:val="28"/>
          <w:szCs w:val="28"/>
        </w:rPr>
        <w:t>战略发展方向及目标</w:t>
      </w:r>
    </w:p>
    <w:p w14:paraId="40DCB38F">
      <w:pPr>
        <w:spacing w:line="360" w:lineRule="auto"/>
        <w:ind w:firstLine="560" w:firstLineChars="200"/>
        <w:rPr>
          <w:rFonts w:asciiTheme="minorEastAsia" w:hAnsiTheme="minorEastAsia"/>
          <w:sz w:val="28"/>
          <w:szCs w:val="28"/>
        </w:rPr>
      </w:pPr>
      <w:r>
        <w:rPr>
          <w:rFonts w:hint="eastAsia" w:asciiTheme="minorEastAsia" w:hAnsiTheme="minorEastAsia"/>
          <w:sz w:val="28"/>
          <w:szCs w:val="28"/>
        </w:rPr>
        <w:t>1、大力推行全员改善，持续提升运营效率</w:t>
      </w:r>
    </w:p>
    <w:p w14:paraId="04F4025A">
      <w:pPr>
        <w:spacing w:line="360" w:lineRule="auto"/>
        <w:ind w:firstLine="560" w:firstLineChars="200"/>
        <w:rPr>
          <w:rFonts w:asciiTheme="minorEastAsia" w:hAnsiTheme="minorEastAsia"/>
          <w:sz w:val="28"/>
          <w:szCs w:val="28"/>
        </w:rPr>
      </w:pPr>
      <w:r>
        <w:rPr>
          <w:rFonts w:hint="eastAsia" w:asciiTheme="minorEastAsia" w:hAnsiTheme="minorEastAsia"/>
          <w:sz w:val="28"/>
          <w:szCs w:val="28"/>
        </w:rPr>
        <w:t>继续推进全员改善的广度和深度，激励全体员工在更广泛、更深层次的领域实施全员改善提案，保持持续改善机制的规范运作，形成持续改善的文化氛围，达到提升产品质量、改进现场管理、消除安全隐患、降低运营成本、提高劳动效率的目的，为制造出高性价比、高质量、高端的产品提供保障。</w:t>
      </w:r>
    </w:p>
    <w:p w14:paraId="45FEF070">
      <w:pPr>
        <w:spacing w:line="360" w:lineRule="auto"/>
        <w:ind w:firstLine="560" w:firstLineChars="200"/>
        <w:rPr>
          <w:rFonts w:asciiTheme="minorEastAsia" w:hAnsiTheme="minorEastAsia"/>
          <w:sz w:val="28"/>
          <w:szCs w:val="28"/>
        </w:rPr>
      </w:pPr>
      <w:r>
        <w:rPr>
          <w:rFonts w:hint="eastAsia" w:asciiTheme="minorEastAsia" w:hAnsiTheme="minorEastAsia"/>
          <w:sz w:val="28"/>
          <w:szCs w:val="28"/>
        </w:rPr>
        <w:t>2、继续加大研发投入，提升产品品质</w:t>
      </w:r>
    </w:p>
    <w:p w14:paraId="0AE76861">
      <w:pPr>
        <w:spacing w:line="360" w:lineRule="auto"/>
        <w:ind w:firstLine="560" w:firstLineChars="200"/>
        <w:rPr>
          <w:rFonts w:asciiTheme="minorEastAsia" w:hAnsiTheme="minorEastAsia"/>
          <w:sz w:val="28"/>
          <w:szCs w:val="28"/>
        </w:rPr>
      </w:pPr>
      <w:r>
        <w:rPr>
          <w:rFonts w:hint="eastAsia" w:asciiTheme="minorEastAsia" w:hAnsiTheme="minorEastAsia"/>
          <w:sz w:val="28"/>
          <w:szCs w:val="28"/>
        </w:rPr>
        <w:t>根据公司战略规划，继续完善公司技术创新体系，加强基础研发条件建设，建立以公司经营战略为目标，以市场需求为导向的信息沟通机制。继续加大研发投入，依靠公司创新团队，加强市场调研活动，以客户的需求为动力，积极开发和生产优质的高端产品。</w:t>
      </w:r>
    </w:p>
    <w:p w14:paraId="2456029C">
      <w:pPr>
        <w:spacing w:line="360" w:lineRule="auto"/>
        <w:ind w:firstLine="560" w:firstLineChars="200"/>
        <w:rPr>
          <w:rFonts w:asciiTheme="minorEastAsia" w:hAnsiTheme="minorEastAsia"/>
          <w:sz w:val="28"/>
          <w:szCs w:val="28"/>
        </w:rPr>
      </w:pPr>
      <w:r>
        <w:rPr>
          <w:rFonts w:hint="eastAsia" w:asciiTheme="minorEastAsia" w:hAnsiTheme="minorEastAsia"/>
          <w:sz w:val="28"/>
          <w:szCs w:val="28"/>
        </w:rPr>
        <w:t>3、推行品牌战略，提高产品知名度</w:t>
      </w:r>
    </w:p>
    <w:p w14:paraId="7FAB6F6D">
      <w:pPr>
        <w:autoSpaceDE w:val="0"/>
        <w:autoSpaceDN w:val="0"/>
        <w:adjustRightInd w:val="0"/>
        <w:spacing w:line="360" w:lineRule="auto"/>
        <w:ind w:firstLine="560" w:firstLineChars="200"/>
        <w:rPr>
          <w:sz w:val="28"/>
          <w:szCs w:val="28"/>
        </w:rPr>
      </w:pPr>
      <w:r>
        <w:rPr>
          <w:rFonts w:hAnsi="宋体"/>
          <w:sz w:val="28"/>
          <w:szCs w:val="28"/>
        </w:rPr>
        <w:t>依靠新媒体等宣传形式传播品牌，推广品牌，提高</w:t>
      </w:r>
      <w:r>
        <w:rPr>
          <w:rFonts w:hint="eastAsia" w:hAnsi="宋体"/>
          <w:sz w:val="28"/>
          <w:szCs w:val="28"/>
        </w:rPr>
        <w:t>品牌</w:t>
      </w:r>
      <w:r>
        <w:rPr>
          <w:rFonts w:hAnsi="宋体"/>
          <w:sz w:val="28"/>
          <w:szCs w:val="28"/>
        </w:rPr>
        <w:t>在中外客户中的知晓率。注重市场信誉的提高。</w:t>
      </w:r>
      <w:r>
        <w:rPr>
          <w:rFonts w:hint="eastAsia" w:hAnsi="宋体"/>
          <w:sz w:val="28"/>
          <w:szCs w:val="28"/>
        </w:rPr>
        <w:t>建立健全售后服务体系，定期或不定期向客户进行满意度调查，倾听客户意见和建议，不断改进和提高服务质量，不断满足客户需求，使产品的知名度越来越高。</w:t>
      </w:r>
    </w:p>
    <w:p w14:paraId="59B489D6">
      <w:pPr>
        <w:spacing w:line="360" w:lineRule="auto"/>
        <w:ind w:firstLine="560" w:firstLineChars="200"/>
        <w:rPr>
          <w:rFonts w:asciiTheme="minorEastAsia" w:hAnsiTheme="minorEastAsia"/>
          <w:sz w:val="28"/>
          <w:szCs w:val="28"/>
        </w:rPr>
      </w:pPr>
      <w:r>
        <w:rPr>
          <w:rFonts w:hint="eastAsia" w:asciiTheme="minorEastAsia" w:hAnsiTheme="minorEastAsia"/>
          <w:sz w:val="28"/>
          <w:szCs w:val="28"/>
        </w:rPr>
        <w:t>4、夯实产品基础，稳步进军高端市场</w:t>
      </w:r>
    </w:p>
    <w:p w14:paraId="2EF4FE6D">
      <w:pPr>
        <w:spacing w:line="360" w:lineRule="auto"/>
        <w:ind w:firstLine="560" w:firstLineChars="200"/>
        <w:rPr>
          <w:rFonts w:asciiTheme="minorEastAsia" w:hAnsiTheme="minorEastAsia"/>
          <w:sz w:val="28"/>
          <w:szCs w:val="28"/>
        </w:rPr>
      </w:pPr>
      <w:r>
        <w:rPr>
          <w:rFonts w:hint="eastAsia" w:asciiTheme="minorEastAsia" w:hAnsiTheme="minorEastAsia"/>
          <w:sz w:val="28"/>
          <w:szCs w:val="28"/>
        </w:rPr>
        <w:t>产品是企业的立身之本，是企业开展经营活动的基础。本公司瞄准国际标准，提高产品品质水平，实现优化升级，这既是公司的目标，也是公司的任务。公司认真总结了多年来经验，按标准设计产品，制订工艺和操作规程。公司认真学习、吸收、转化先进技术和操作方法，创新和提升工艺技术水平，千方百计把产品做好。</w:t>
      </w:r>
    </w:p>
    <w:p w14:paraId="417E747A">
      <w:pPr>
        <w:spacing w:line="360" w:lineRule="auto"/>
        <w:ind w:firstLine="560" w:firstLineChars="200"/>
        <w:rPr>
          <w:rFonts w:asciiTheme="minorEastAsia" w:hAnsiTheme="minorEastAsia"/>
          <w:sz w:val="28"/>
          <w:szCs w:val="28"/>
        </w:rPr>
      </w:pPr>
      <w:r>
        <w:rPr>
          <w:rFonts w:hint="eastAsia" w:asciiTheme="minorEastAsia" w:hAnsiTheme="minorEastAsia"/>
          <w:sz w:val="28"/>
          <w:szCs w:val="28"/>
        </w:rPr>
        <w:t>5、增强产业链服务意识，努力达到合作共赢</w:t>
      </w:r>
    </w:p>
    <w:p w14:paraId="2FF0B1C7">
      <w:pPr>
        <w:spacing w:line="360" w:lineRule="auto"/>
        <w:ind w:firstLine="560" w:firstLineChars="200"/>
        <w:rPr>
          <w:rFonts w:asciiTheme="minorEastAsia" w:hAnsiTheme="minorEastAsia"/>
          <w:sz w:val="28"/>
          <w:szCs w:val="28"/>
        </w:rPr>
      </w:pPr>
      <w:r>
        <w:rPr>
          <w:rFonts w:hint="eastAsia" w:asciiTheme="minorEastAsia" w:hAnsiTheme="minorEastAsia"/>
          <w:sz w:val="28"/>
          <w:szCs w:val="28"/>
        </w:rPr>
        <w:t>公司的上游供应商的供货质量和供货速度是公司为下游客户提供优质产品和服务的基础，公司将建立相应的制度，培养相应的管理人才，帮助供应商提高管理水平和生产能力，协同供应商共同进步；公司以“成就客户”为唯一存在的理由，想客户所想，做客户所需，加大对消费者需求的研究，积极开发设计符合客户预期的产品。</w:t>
      </w:r>
    </w:p>
    <w:p w14:paraId="03385664">
      <w:pPr>
        <w:spacing w:line="360" w:lineRule="auto"/>
        <w:ind w:firstLine="560" w:firstLineChars="200"/>
        <w:rPr>
          <w:rFonts w:asciiTheme="minorEastAsia" w:hAnsiTheme="minorEastAsia"/>
          <w:sz w:val="28"/>
          <w:szCs w:val="28"/>
        </w:rPr>
      </w:pPr>
      <w:r>
        <w:rPr>
          <w:rFonts w:hint="eastAsia" w:asciiTheme="minorEastAsia" w:hAnsiTheme="minorEastAsia"/>
          <w:sz w:val="28"/>
          <w:szCs w:val="28"/>
        </w:rPr>
        <w:t>6、持续引进优秀人才，加大内部人才培养力度</w:t>
      </w:r>
    </w:p>
    <w:p w14:paraId="67E5D0D7">
      <w:pPr>
        <w:spacing w:line="360" w:lineRule="auto"/>
        <w:ind w:firstLine="560" w:firstLineChars="200"/>
        <w:rPr>
          <w:rFonts w:asciiTheme="minorEastAsia" w:hAnsiTheme="minorEastAsia"/>
          <w:sz w:val="28"/>
          <w:szCs w:val="28"/>
        </w:rPr>
      </w:pPr>
      <w:r>
        <w:rPr>
          <w:rFonts w:hint="eastAsia" w:asciiTheme="minorEastAsia" w:hAnsiTheme="minorEastAsia"/>
          <w:sz w:val="28"/>
          <w:szCs w:val="28"/>
        </w:rPr>
        <w:t>公司始终坚持认为人才是公司持续成长的基石，始终保持开放的人才观，大力引进优秀人才，并创造有利的条件使其能够发挥最大的作用。加强价值观引导，鼓励员工立足本职、勇于创新、积极改善，并鼓励员工自主学习、不断进步。同时加大对内部人才的培训力度，使其适应公司快速发展的步伐，发挥老员工的积极作用。</w:t>
      </w:r>
    </w:p>
    <w:p w14:paraId="29852849">
      <w:pPr>
        <w:spacing w:line="360" w:lineRule="auto"/>
        <w:ind w:firstLine="560" w:firstLineChars="200"/>
        <w:rPr>
          <w:rFonts w:asciiTheme="minorEastAsia" w:hAnsiTheme="minorEastAsia"/>
          <w:sz w:val="28"/>
          <w:szCs w:val="28"/>
        </w:rPr>
      </w:pPr>
      <w:r>
        <w:rPr>
          <w:rFonts w:hint="eastAsia" w:asciiTheme="minorEastAsia" w:hAnsiTheme="minorEastAsia"/>
          <w:sz w:val="28"/>
          <w:szCs w:val="28"/>
        </w:rPr>
        <w:t>7、深化内控管理，加强风险控制</w:t>
      </w:r>
    </w:p>
    <w:p w14:paraId="75DF1F64">
      <w:pPr>
        <w:spacing w:line="360" w:lineRule="auto"/>
        <w:ind w:firstLine="560" w:firstLineChars="200"/>
        <w:rPr>
          <w:rFonts w:asciiTheme="minorEastAsia" w:hAnsiTheme="minorEastAsia"/>
          <w:sz w:val="24"/>
          <w:szCs w:val="24"/>
        </w:rPr>
      </w:pPr>
      <w:r>
        <w:rPr>
          <w:rFonts w:hint="eastAsia" w:asciiTheme="minorEastAsia" w:hAnsiTheme="minorEastAsia"/>
          <w:sz w:val="28"/>
          <w:szCs w:val="28"/>
        </w:rPr>
        <w:t>深化内控体系建设，进一步强化内部审计经济监督职能，持续推进风险管理融入整个经营管理流程。强化公司管理目标，完善和优化公司管理流程，提升公司经营效果和效率。</w:t>
      </w:r>
      <w:bookmarkStart w:id="5" w:name="_Toc451610986"/>
      <w:bookmarkStart w:id="6" w:name="_Toc451610893"/>
    </w:p>
    <w:p w14:paraId="320E9F42">
      <w:pPr>
        <w:spacing w:line="360" w:lineRule="auto"/>
        <w:ind w:firstLine="562" w:firstLineChars="200"/>
        <w:rPr>
          <w:rFonts w:asciiTheme="minorEastAsia" w:hAnsiTheme="minorEastAsia"/>
          <w:sz w:val="28"/>
          <w:szCs w:val="28"/>
        </w:rPr>
      </w:pPr>
      <w:r>
        <w:rPr>
          <w:rFonts w:hint="eastAsia" w:cs="Times New Roman" w:asciiTheme="majorEastAsia" w:hAnsiTheme="majorEastAsia" w:eastAsiaTheme="majorEastAsia"/>
          <w:b/>
          <w:sz w:val="28"/>
          <w:szCs w:val="28"/>
        </w:rPr>
        <w:t>（二）市场业绩</w:t>
      </w:r>
      <w:bookmarkEnd w:id="5"/>
      <w:bookmarkEnd w:id="6"/>
    </w:p>
    <w:p w14:paraId="2689D9B0">
      <w:pPr>
        <w:spacing w:line="360" w:lineRule="auto"/>
        <w:ind w:firstLine="560" w:firstLineChars="200"/>
        <w:rPr>
          <w:rFonts w:asciiTheme="minorEastAsia" w:hAnsiTheme="minorEastAsia"/>
          <w:sz w:val="28"/>
          <w:szCs w:val="28"/>
        </w:rPr>
      </w:pPr>
      <w:r>
        <w:rPr>
          <w:rFonts w:hint="eastAsia" w:asciiTheme="minorEastAsia" w:hAnsiTheme="minorEastAsia"/>
          <w:sz w:val="28"/>
          <w:szCs w:val="28"/>
        </w:rPr>
        <w:t>（1）</w:t>
      </w:r>
      <w:r>
        <w:rPr>
          <w:rFonts w:asciiTheme="minorEastAsia" w:hAnsiTheme="minorEastAsia"/>
          <w:sz w:val="28"/>
          <w:szCs w:val="28"/>
        </w:rPr>
        <w:t>市场地位</w:t>
      </w:r>
    </w:p>
    <w:p w14:paraId="08E33348">
      <w:pPr>
        <w:spacing w:line="360" w:lineRule="auto"/>
        <w:ind w:firstLine="615"/>
        <w:rPr>
          <w:rFonts w:asciiTheme="minorEastAsia" w:hAnsiTheme="minorEastAsia"/>
          <w:sz w:val="28"/>
          <w:szCs w:val="28"/>
        </w:rPr>
      </w:pPr>
      <w:r>
        <w:rPr>
          <w:rFonts w:hint="eastAsia" w:asciiTheme="minorEastAsia" w:hAnsiTheme="minorEastAsia"/>
          <w:sz w:val="28"/>
          <w:szCs w:val="28"/>
        </w:rPr>
        <w:t xml:space="preserve">公司自成立以来，一直专注于机械密封式铜合金地漏业务，具有很强的专业化生产能力，形成了稳定的协作配套关系，占有很高的市场份额。 </w:t>
      </w:r>
    </w:p>
    <w:p w14:paraId="3E021AEB">
      <w:pPr>
        <w:spacing w:line="360" w:lineRule="auto"/>
        <w:ind w:firstLine="560" w:firstLineChars="200"/>
        <w:rPr>
          <w:rFonts w:asciiTheme="minorEastAsia" w:hAnsiTheme="minorEastAsia"/>
          <w:sz w:val="28"/>
          <w:szCs w:val="28"/>
        </w:rPr>
      </w:pPr>
      <w:r>
        <w:rPr>
          <w:rFonts w:hint="eastAsia" w:asciiTheme="minorEastAsia" w:hAnsiTheme="minorEastAsia"/>
          <w:sz w:val="28"/>
          <w:szCs w:val="28"/>
        </w:rPr>
        <w:t>（2）销售能力和业绩</w:t>
      </w:r>
    </w:p>
    <w:p w14:paraId="5B8500E8">
      <w:pPr>
        <w:autoSpaceDE w:val="0"/>
        <w:autoSpaceDN w:val="0"/>
        <w:adjustRightInd w:val="0"/>
        <w:spacing w:line="360" w:lineRule="auto"/>
        <w:jc w:val="center"/>
        <w:rPr>
          <w:rFonts w:ascii="宋体" w:hAnsi="宋体" w:eastAsia="宋体" w:cs="Times New Roman"/>
          <w:sz w:val="28"/>
          <w:szCs w:val="28"/>
        </w:rPr>
      </w:pPr>
      <w:r>
        <w:rPr>
          <w:rFonts w:ascii="宋体" w:hAnsi="宋体" w:eastAsia="宋体" w:cs="Times New Roman"/>
          <w:sz w:val="28"/>
          <w:szCs w:val="28"/>
        </w:rPr>
        <w:t>202</w:t>
      </w:r>
      <w:r>
        <w:rPr>
          <w:rFonts w:hint="eastAsia" w:ascii="宋体" w:hAnsi="宋体" w:eastAsia="宋体" w:cs="Times New Roman"/>
          <w:sz w:val="28"/>
          <w:szCs w:val="28"/>
          <w:lang w:val="en-US" w:eastAsia="zh-CN"/>
        </w:rPr>
        <w:t>2</w:t>
      </w:r>
      <w:r>
        <w:rPr>
          <w:rFonts w:ascii="宋体" w:hAnsi="宋体" w:eastAsia="宋体" w:cs="Times New Roman"/>
          <w:sz w:val="28"/>
          <w:szCs w:val="28"/>
        </w:rPr>
        <w:t>年—202</w:t>
      </w:r>
      <w:r>
        <w:rPr>
          <w:rFonts w:hint="eastAsia" w:ascii="宋体" w:hAnsi="宋体" w:eastAsia="宋体" w:cs="Times New Roman"/>
          <w:sz w:val="28"/>
          <w:szCs w:val="28"/>
          <w:lang w:val="en-US" w:eastAsia="zh-CN"/>
        </w:rPr>
        <w:t>4</w:t>
      </w:r>
      <w:r>
        <w:rPr>
          <w:rFonts w:ascii="宋体" w:hAnsi="宋体" w:eastAsia="宋体" w:cs="Times New Roman"/>
          <w:sz w:val="28"/>
          <w:szCs w:val="28"/>
        </w:rPr>
        <w:t>年企业经营情况如下表：</w:t>
      </w:r>
    </w:p>
    <w:tbl>
      <w:tblPr>
        <w:tblStyle w:val="3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4"/>
        <w:gridCol w:w="1229"/>
        <w:gridCol w:w="2637"/>
        <w:gridCol w:w="2787"/>
        <w:gridCol w:w="1225"/>
      </w:tblGrid>
      <w:tr w14:paraId="1BAEA8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378" w:type="pct"/>
            <w:vAlign w:val="center"/>
          </w:tcPr>
          <w:p w14:paraId="4E6E6531">
            <w:pPr>
              <w:jc w:val="center"/>
              <w:rPr>
                <w:rFonts w:ascii="宋体" w:hAnsi="宋体" w:eastAsia="宋体"/>
                <w:sz w:val="24"/>
                <w:szCs w:val="24"/>
              </w:rPr>
            </w:pPr>
            <w:r>
              <w:rPr>
                <w:rFonts w:hint="eastAsia" w:ascii="宋体" w:hAnsi="宋体" w:eastAsia="宋体"/>
                <w:sz w:val="24"/>
                <w:szCs w:val="24"/>
              </w:rPr>
              <w:t>序号</w:t>
            </w:r>
          </w:p>
        </w:tc>
        <w:tc>
          <w:tcPr>
            <w:tcW w:w="721" w:type="pct"/>
            <w:vAlign w:val="center"/>
          </w:tcPr>
          <w:p w14:paraId="69DBC4FF">
            <w:pPr>
              <w:jc w:val="center"/>
              <w:rPr>
                <w:rFonts w:ascii="宋体" w:hAnsi="宋体" w:eastAsia="宋体"/>
                <w:sz w:val="24"/>
                <w:szCs w:val="24"/>
              </w:rPr>
            </w:pPr>
            <w:r>
              <w:rPr>
                <w:rFonts w:hint="eastAsia" w:ascii="宋体" w:hAnsi="宋体" w:eastAsia="宋体"/>
                <w:sz w:val="24"/>
                <w:szCs w:val="24"/>
              </w:rPr>
              <w:t>年度</w:t>
            </w:r>
          </w:p>
        </w:tc>
        <w:tc>
          <w:tcPr>
            <w:tcW w:w="1547" w:type="pct"/>
            <w:vAlign w:val="center"/>
          </w:tcPr>
          <w:p w14:paraId="35DC93A3">
            <w:pPr>
              <w:jc w:val="center"/>
              <w:rPr>
                <w:rFonts w:ascii="宋体" w:hAnsi="宋体" w:eastAsia="宋体"/>
                <w:sz w:val="24"/>
                <w:szCs w:val="24"/>
              </w:rPr>
            </w:pPr>
            <w:r>
              <w:rPr>
                <w:rFonts w:hint="eastAsia" w:ascii="宋体" w:hAnsi="宋体" w:eastAsia="宋体"/>
                <w:sz w:val="24"/>
                <w:szCs w:val="24"/>
              </w:rPr>
              <w:t>研发费用（万元）</w:t>
            </w:r>
          </w:p>
        </w:tc>
        <w:tc>
          <w:tcPr>
            <w:tcW w:w="1635" w:type="pct"/>
            <w:vAlign w:val="center"/>
          </w:tcPr>
          <w:p w14:paraId="3FC9ED31">
            <w:pPr>
              <w:jc w:val="center"/>
              <w:rPr>
                <w:rFonts w:ascii="宋体" w:hAnsi="宋体" w:eastAsia="宋体"/>
                <w:sz w:val="24"/>
                <w:szCs w:val="24"/>
              </w:rPr>
            </w:pPr>
            <w:r>
              <w:rPr>
                <w:rFonts w:hint="eastAsia" w:ascii="宋体" w:hAnsi="宋体" w:eastAsia="宋体"/>
                <w:sz w:val="24"/>
                <w:szCs w:val="24"/>
              </w:rPr>
              <w:t>营业收入金额</w:t>
            </w:r>
          </w:p>
          <w:p w14:paraId="7F23E84E">
            <w:pPr>
              <w:jc w:val="center"/>
              <w:rPr>
                <w:rFonts w:ascii="宋体" w:hAnsi="宋体" w:eastAsia="宋体"/>
                <w:sz w:val="24"/>
                <w:szCs w:val="24"/>
              </w:rPr>
            </w:pPr>
            <w:r>
              <w:rPr>
                <w:rFonts w:hint="eastAsia" w:ascii="宋体" w:hAnsi="宋体" w:eastAsia="宋体"/>
                <w:sz w:val="24"/>
                <w:szCs w:val="24"/>
              </w:rPr>
              <w:t>（万元）</w:t>
            </w:r>
          </w:p>
        </w:tc>
        <w:tc>
          <w:tcPr>
            <w:tcW w:w="719" w:type="pct"/>
            <w:vAlign w:val="center"/>
          </w:tcPr>
          <w:p w14:paraId="7EBD33B4">
            <w:pPr>
              <w:jc w:val="center"/>
              <w:rPr>
                <w:rFonts w:ascii="宋体" w:hAnsi="宋体" w:eastAsia="宋体"/>
                <w:sz w:val="24"/>
                <w:szCs w:val="24"/>
              </w:rPr>
            </w:pPr>
            <w:r>
              <w:rPr>
                <w:rFonts w:hint="eastAsia" w:ascii="宋体" w:hAnsi="宋体" w:eastAsia="宋体"/>
                <w:sz w:val="24"/>
                <w:szCs w:val="24"/>
              </w:rPr>
              <w:t>比例（%）</w:t>
            </w:r>
          </w:p>
        </w:tc>
      </w:tr>
      <w:tr w14:paraId="7AE943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78" w:type="pct"/>
            <w:vAlign w:val="center"/>
          </w:tcPr>
          <w:p w14:paraId="03720F75">
            <w:pPr>
              <w:jc w:val="center"/>
              <w:rPr>
                <w:rFonts w:ascii="宋体" w:hAnsi="宋体" w:eastAsia="宋体"/>
                <w:sz w:val="24"/>
                <w:szCs w:val="24"/>
              </w:rPr>
            </w:pPr>
            <w:r>
              <w:rPr>
                <w:rFonts w:ascii="宋体" w:hAnsi="宋体" w:eastAsia="宋体"/>
                <w:sz w:val="24"/>
                <w:szCs w:val="24"/>
              </w:rPr>
              <w:t>1</w:t>
            </w:r>
          </w:p>
        </w:tc>
        <w:tc>
          <w:tcPr>
            <w:tcW w:w="1229" w:type="dxa"/>
            <w:vAlign w:val="center"/>
          </w:tcPr>
          <w:p w14:paraId="3859A35C">
            <w:pPr>
              <w:jc w:val="center"/>
              <w:rPr>
                <w:rFonts w:ascii="宋体" w:hAnsi="宋体" w:eastAsia="宋体"/>
                <w:sz w:val="24"/>
                <w:szCs w:val="24"/>
              </w:rPr>
            </w:pPr>
            <w:r>
              <w:rPr>
                <w:rFonts w:ascii="宋体" w:hAnsi="宋体" w:eastAsia="宋体"/>
                <w:sz w:val="24"/>
                <w:szCs w:val="24"/>
              </w:rPr>
              <w:t>202</w:t>
            </w:r>
            <w:r>
              <w:rPr>
                <w:rFonts w:hint="eastAsia" w:ascii="宋体" w:hAnsi="宋体" w:eastAsia="宋体"/>
                <w:sz w:val="24"/>
                <w:szCs w:val="24"/>
              </w:rPr>
              <w:t>2</w:t>
            </w:r>
          </w:p>
        </w:tc>
        <w:tc>
          <w:tcPr>
            <w:tcW w:w="2637" w:type="dxa"/>
            <w:vAlign w:val="center"/>
          </w:tcPr>
          <w:p w14:paraId="70852761">
            <w:pPr>
              <w:jc w:val="center"/>
              <w:rPr>
                <w:rFonts w:ascii="宋体" w:hAnsi="宋体" w:eastAsia="宋体"/>
                <w:sz w:val="24"/>
                <w:szCs w:val="24"/>
              </w:rPr>
            </w:pPr>
            <w:r>
              <w:rPr>
                <w:rFonts w:hint="eastAsia" w:ascii="宋体" w:hAnsi="宋体" w:eastAsia="宋体"/>
                <w:sz w:val="24"/>
                <w:szCs w:val="24"/>
              </w:rPr>
              <w:t>488</w:t>
            </w:r>
          </w:p>
        </w:tc>
        <w:tc>
          <w:tcPr>
            <w:tcW w:w="2787" w:type="dxa"/>
            <w:vAlign w:val="center"/>
          </w:tcPr>
          <w:p w14:paraId="2F3C2ABE">
            <w:pPr>
              <w:jc w:val="center"/>
              <w:rPr>
                <w:rFonts w:ascii="宋体" w:hAnsi="宋体" w:eastAsia="宋体"/>
                <w:sz w:val="24"/>
                <w:szCs w:val="24"/>
              </w:rPr>
            </w:pPr>
            <w:r>
              <w:rPr>
                <w:rFonts w:hint="eastAsia" w:ascii="宋体" w:hAnsi="宋体"/>
                <w:sz w:val="24"/>
                <w:szCs w:val="24"/>
              </w:rPr>
              <w:t>10830</w:t>
            </w:r>
          </w:p>
        </w:tc>
        <w:tc>
          <w:tcPr>
            <w:tcW w:w="1225" w:type="dxa"/>
            <w:vAlign w:val="center"/>
          </w:tcPr>
          <w:p w14:paraId="1116BE93">
            <w:pPr>
              <w:jc w:val="center"/>
              <w:rPr>
                <w:rFonts w:ascii="宋体" w:hAnsi="宋体" w:eastAsia="宋体"/>
                <w:sz w:val="24"/>
                <w:szCs w:val="24"/>
              </w:rPr>
            </w:pPr>
            <w:r>
              <w:rPr>
                <w:rFonts w:hint="eastAsia" w:ascii="宋体" w:hAnsi="宋体"/>
                <w:sz w:val="24"/>
                <w:szCs w:val="24"/>
              </w:rPr>
              <w:t>4.51</w:t>
            </w:r>
          </w:p>
        </w:tc>
      </w:tr>
      <w:tr w14:paraId="71AF77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78" w:type="pct"/>
            <w:vAlign w:val="center"/>
          </w:tcPr>
          <w:p w14:paraId="694D032E">
            <w:pPr>
              <w:jc w:val="center"/>
              <w:rPr>
                <w:rFonts w:ascii="宋体" w:hAnsi="宋体" w:eastAsia="宋体"/>
                <w:sz w:val="24"/>
                <w:szCs w:val="24"/>
              </w:rPr>
            </w:pPr>
            <w:r>
              <w:rPr>
                <w:rFonts w:ascii="宋体" w:hAnsi="宋体" w:eastAsia="宋体"/>
                <w:sz w:val="24"/>
                <w:szCs w:val="24"/>
              </w:rPr>
              <w:t>2</w:t>
            </w:r>
          </w:p>
        </w:tc>
        <w:tc>
          <w:tcPr>
            <w:tcW w:w="1229" w:type="dxa"/>
            <w:vAlign w:val="center"/>
          </w:tcPr>
          <w:p w14:paraId="30FE4614">
            <w:pPr>
              <w:jc w:val="center"/>
              <w:rPr>
                <w:rFonts w:ascii="宋体" w:hAnsi="宋体" w:eastAsia="宋体"/>
                <w:sz w:val="24"/>
                <w:szCs w:val="24"/>
              </w:rPr>
            </w:pPr>
            <w:r>
              <w:rPr>
                <w:rFonts w:ascii="宋体" w:hAnsi="宋体" w:eastAsia="宋体"/>
                <w:sz w:val="24"/>
                <w:szCs w:val="24"/>
              </w:rPr>
              <w:t>202</w:t>
            </w:r>
            <w:r>
              <w:rPr>
                <w:rFonts w:hint="eastAsia" w:ascii="宋体" w:hAnsi="宋体" w:eastAsia="宋体"/>
                <w:sz w:val="24"/>
                <w:szCs w:val="24"/>
              </w:rPr>
              <w:t>3</w:t>
            </w:r>
          </w:p>
        </w:tc>
        <w:tc>
          <w:tcPr>
            <w:tcW w:w="2637" w:type="dxa"/>
            <w:vAlign w:val="center"/>
          </w:tcPr>
          <w:p w14:paraId="78F6F1C2">
            <w:pPr>
              <w:jc w:val="center"/>
              <w:rPr>
                <w:rFonts w:ascii="宋体" w:hAnsi="宋体" w:eastAsia="宋体"/>
                <w:sz w:val="24"/>
                <w:szCs w:val="24"/>
              </w:rPr>
            </w:pPr>
            <w:r>
              <w:rPr>
                <w:rFonts w:hint="eastAsia" w:ascii="宋体" w:hAnsi="宋体"/>
                <w:sz w:val="24"/>
                <w:szCs w:val="24"/>
              </w:rPr>
              <w:t>423</w:t>
            </w:r>
          </w:p>
        </w:tc>
        <w:tc>
          <w:tcPr>
            <w:tcW w:w="2787" w:type="dxa"/>
            <w:vAlign w:val="center"/>
          </w:tcPr>
          <w:p w14:paraId="4E753397">
            <w:pPr>
              <w:jc w:val="center"/>
              <w:rPr>
                <w:rFonts w:ascii="宋体" w:hAnsi="宋体" w:eastAsia="宋体"/>
                <w:sz w:val="24"/>
                <w:szCs w:val="24"/>
              </w:rPr>
            </w:pPr>
            <w:r>
              <w:rPr>
                <w:rFonts w:hint="eastAsia" w:ascii="宋体" w:hAnsi="宋体"/>
                <w:sz w:val="24"/>
                <w:szCs w:val="24"/>
              </w:rPr>
              <w:t>9211</w:t>
            </w:r>
          </w:p>
        </w:tc>
        <w:tc>
          <w:tcPr>
            <w:tcW w:w="1225" w:type="dxa"/>
            <w:vAlign w:val="center"/>
          </w:tcPr>
          <w:p w14:paraId="68BE359B">
            <w:pPr>
              <w:jc w:val="center"/>
              <w:rPr>
                <w:rFonts w:ascii="宋体" w:hAnsi="宋体" w:eastAsia="宋体"/>
                <w:sz w:val="24"/>
                <w:szCs w:val="24"/>
              </w:rPr>
            </w:pPr>
            <w:r>
              <w:rPr>
                <w:rFonts w:hint="eastAsia" w:ascii="宋体" w:hAnsi="宋体"/>
                <w:sz w:val="24"/>
                <w:szCs w:val="24"/>
              </w:rPr>
              <w:t>4.59</w:t>
            </w:r>
          </w:p>
        </w:tc>
      </w:tr>
      <w:tr w14:paraId="70DF9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78" w:type="pct"/>
            <w:vAlign w:val="center"/>
          </w:tcPr>
          <w:p w14:paraId="14B069B4">
            <w:pPr>
              <w:jc w:val="center"/>
              <w:rPr>
                <w:rFonts w:ascii="宋体" w:hAnsi="宋体" w:eastAsia="宋体"/>
                <w:sz w:val="24"/>
                <w:szCs w:val="24"/>
              </w:rPr>
            </w:pPr>
            <w:r>
              <w:rPr>
                <w:rFonts w:ascii="宋体" w:hAnsi="宋体" w:eastAsia="宋体"/>
                <w:sz w:val="24"/>
                <w:szCs w:val="24"/>
              </w:rPr>
              <w:t>3</w:t>
            </w:r>
          </w:p>
        </w:tc>
        <w:tc>
          <w:tcPr>
            <w:tcW w:w="721" w:type="pct"/>
            <w:vAlign w:val="center"/>
          </w:tcPr>
          <w:p w14:paraId="429E9AF0">
            <w:pPr>
              <w:jc w:val="center"/>
              <w:rPr>
                <w:rFonts w:hint="eastAsia" w:ascii="宋体" w:hAnsi="宋体" w:eastAsia="宋体"/>
                <w:sz w:val="24"/>
                <w:szCs w:val="24"/>
                <w:lang w:eastAsia="zh-CN"/>
              </w:rPr>
            </w:pPr>
            <w:r>
              <w:rPr>
                <w:rFonts w:ascii="宋体" w:hAnsi="宋体" w:eastAsia="宋体"/>
                <w:sz w:val="24"/>
                <w:szCs w:val="24"/>
              </w:rPr>
              <w:t>202</w:t>
            </w:r>
            <w:r>
              <w:rPr>
                <w:rFonts w:hint="eastAsia" w:ascii="宋体" w:hAnsi="宋体" w:eastAsia="宋体"/>
                <w:sz w:val="24"/>
                <w:szCs w:val="24"/>
                <w:lang w:val="en-US" w:eastAsia="zh-CN"/>
              </w:rPr>
              <w:t>4</w:t>
            </w:r>
          </w:p>
        </w:tc>
        <w:tc>
          <w:tcPr>
            <w:tcW w:w="1547" w:type="pct"/>
            <w:vAlign w:val="center"/>
          </w:tcPr>
          <w:p w14:paraId="01E2EA74">
            <w:pPr>
              <w:jc w:val="center"/>
              <w:rPr>
                <w:rFonts w:hint="default" w:ascii="宋体" w:hAnsi="宋体" w:eastAsiaTheme="minorEastAsia"/>
                <w:color w:val="000000" w:themeColor="text1"/>
                <w:sz w:val="24"/>
                <w:szCs w:val="24"/>
                <w:lang w:val="en-US" w:eastAsia="zh-CN"/>
                <w14:textFill>
                  <w14:solidFill>
                    <w14:schemeClr w14:val="tx1"/>
                  </w14:solidFill>
                </w14:textFill>
              </w:rPr>
            </w:pPr>
            <w:r>
              <w:rPr>
                <w:rFonts w:hint="eastAsia" w:ascii="宋体" w:hAnsi="宋体"/>
                <w:color w:val="000000" w:themeColor="text1"/>
                <w:sz w:val="24"/>
                <w:szCs w:val="24"/>
                <w14:textFill>
                  <w14:solidFill>
                    <w14:schemeClr w14:val="tx1"/>
                  </w14:solidFill>
                </w14:textFill>
              </w:rPr>
              <w:t>4</w:t>
            </w:r>
            <w:r>
              <w:rPr>
                <w:rFonts w:hint="eastAsia" w:ascii="宋体" w:hAnsi="宋体"/>
                <w:color w:val="000000" w:themeColor="text1"/>
                <w:sz w:val="24"/>
                <w:szCs w:val="24"/>
                <w:lang w:val="en-US" w:eastAsia="zh-CN"/>
                <w14:textFill>
                  <w14:solidFill>
                    <w14:schemeClr w14:val="tx1"/>
                  </w14:solidFill>
                </w14:textFill>
              </w:rPr>
              <w:t>19</w:t>
            </w:r>
          </w:p>
        </w:tc>
        <w:tc>
          <w:tcPr>
            <w:tcW w:w="1635" w:type="pct"/>
            <w:vAlign w:val="center"/>
          </w:tcPr>
          <w:p w14:paraId="7E096FE4">
            <w:pPr>
              <w:jc w:val="center"/>
              <w:rPr>
                <w:rFonts w:hint="default" w:ascii="宋体" w:hAnsi="宋体" w:eastAsia="宋体"/>
                <w:color w:val="000000" w:themeColor="text1"/>
                <w:sz w:val="24"/>
                <w:szCs w:val="24"/>
                <w:lang w:val="en-US" w:eastAsia="zh-CN"/>
                <w14:textFill>
                  <w14:solidFill>
                    <w14:schemeClr w14:val="tx1"/>
                  </w14:solidFill>
                </w14:textFill>
              </w:rPr>
            </w:pPr>
            <w:r>
              <w:rPr>
                <w:rFonts w:hint="eastAsia" w:ascii="宋体" w:hAnsi="宋体" w:eastAsia="宋体"/>
                <w:color w:val="000000" w:themeColor="text1"/>
                <w:sz w:val="24"/>
                <w:szCs w:val="24"/>
                <w:lang w:val="en-US" w:eastAsia="zh-CN"/>
                <w14:textFill>
                  <w14:solidFill>
                    <w14:schemeClr w14:val="tx1"/>
                  </w14:solidFill>
                </w14:textFill>
              </w:rPr>
              <w:t>9059</w:t>
            </w:r>
          </w:p>
        </w:tc>
        <w:tc>
          <w:tcPr>
            <w:tcW w:w="719" w:type="pct"/>
            <w:vAlign w:val="center"/>
          </w:tcPr>
          <w:p w14:paraId="44B7E333">
            <w:pPr>
              <w:jc w:val="center"/>
              <w:rPr>
                <w:rFonts w:hint="default" w:ascii="宋体" w:hAnsi="宋体" w:eastAsiaTheme="minorEastAsia"/>
                <w:color w:val="000000" w:themeColor="text1"/>
                <w:sz w:val="24"/>
                <w:szCs w:val="24"/>
                <w:lang w:val="en-US" w:eastAsia="zh-CN"/>
                <w14:textFill>
                  <w14:solidFill>
                    <w14:schemeClr w14:val="tx1"/>
                  </w14:solidFill>
                </w14:textFill>
              </w:rPr>
            </w:pPr>
            <w:r>
              <w:rPr>
                <w:rFonts w:hint="eastAsia" w:ascii="宋体" w:hAnsi="宋体"/>
                <w:color w:val="000000" w:themeColor="text1"/>
                <w:sz w:val="24"/>
                <w:szCs w:val="24"/>
                <w14:textFill>
                  <w14:solidFill>
                    <w14:schemeClr w14:val="tx1"/>
                  </w14:solidFill>
                </w14:textFill>
              </w:rPr>
              <w:t>4.</w:t>
            </w:r>
            <w:r>
              <w:rPr>
                <w:rFonts w:hint="eastAsia" w:ascii="宋体" w:hAnsi="宋体"/>
                <w:color w:val="000000" w:themeColor="text1"/>
                <w:sz w:val="24"/>
                <w:szCs w:val="24"/>
                <w:lang w:val="en-US" w:eastAsia="zh-CN"/>
                <w14:textFill>
                  <w14:solidFill>
                    <w14:schemeClr w14:val="tx1"/>
                  </w14:solidFill>
                </w14:textFill>
              </w:rPr>
              <w:t>63</w:t>
            </w:r>
          </w:p>
        </w:tc>
      </w:tr>
    </w:tbl>
    <w:p w14:paraId="6030CF02">
      <w:pPr>
        <w:spacing w:line="360" w:lineRule="auto"/>
        <w:ind w:firstLine="596" w:firstLineChars="198"/>
        <w:outlineLvl w:val="0"/>
        <w:rPr>
          <w:rFonts w:cs="Times New Roman" w:asciiTheme="majorEastAsia" w:hAnsiTheme="majorEastAsia" w:eastAsiaTheme="majorEastAsia"/>
          <w:b/>
          <w:sz w:val="30"/>
          <w:szCs w:val="30"/>
        </w:rPr>
      </w:pPr>
      <w:bookmarkStart w:id="7" w:name="_Toc451610988"/>
      <w:bookmarkStart w:id="8" w:name="_Toc451610895"/>
      <w:r>
        <w:rPr>
          <w:rFonts w:hint="eastAsia" w:cs="Times New Roman" w:asciiTheme="majorEastAsia" w:hAnsiTheme="majorEastAsia" w:eastAsiaTheme="majorEastAsia"/>
          <w:b/>
          <w:sz w:val="30"/>
          <w:szCs w:val="30"/>
        </w:rPr>
        <w:t>五、社会责任</w:t>
      </w:r>
      <w:bookmarkEnd w:id="7"/>
      <w:bookmarkEnd w:id="8"/>
      <w:bookmarkStart w:id="9" w:name="_Toc451610989"/>
      <w:bookmarkStart w:id="10" w:name="_Toc451610896"/>
    </w:p>
    <w:p w14:paraId="3DBE88CD">
      <w:pPr>
        <w:spacing w:line="360" w:lineRule="auto"/>
        <w:ind w:firstLine="551" w:firstLineChars="196"/>
        <w:outlineLvl w:val="0"/>
        <w:rPr>
          <w:rFonts w:cs="Times New Roman" w:asciiTheme="majorEastAsia" w:hAnsiTheme="majorEastAsia" w:eastAsiaTheme="majorEastAsia"/>
          <w:b/>
          <w:sz w:val="28"/>
          <w:szCs w:val="28"/>
        </w:rPr>
      </w:pPr>
      <w:r>
        <w:rPr>
          <w:rFonts w:hint="eastAsia" w:cs="Times New Roman" w:asciiTheme="majorEastAsia" w:hAnsiTheme="majorEastAsia" w:eastAsiaTheme="majorEastAsia"/>
          <w:b/>
          <w:sz w:val="28"/>
          <w:szCs w:val="28"/>
        </w:rPr>
        <w:t>（一）诚信守法</w:t>
      </w:r>
      <w:bookmarkEnd w:id="9"/>
      <w:bookmarkEnd w:id="10"/>
    </w:p>
    <w:p w14:paraId="30DC3687">
      <w:pPr>
        <w:spacing w:line="360" w:lineRule="auto"/>
        <w:ind w:firstLine="560" w:firstLineChars="200"/>
        <w:rPr>
          <w:rFonts w:cs="Times New Roman" w:asciiTheme="minorEastAsia" w:hAnsiTheme="minorEastAsia"/>
          <w:sz w:val="28"/>
          <w:szCs w:val="28"/>
        </w:rPr>
      </w:pPr>
      <w:r>
        <w:rPr>
          <w:rFonts w:hint="eastAsia" w:cs="Times New Roman" w:asciiTheme="minorEastAsia" w:hAnsiTheme="minorEastAsia"/>
          <w:sz w:val="28"/>
          <w:szCs w:val="28"/>
        </w:rPr>
        <w:t>公司</w:t>
      </w:r>
      <w:r>
        <w:rPr>
          <w:rFonts w:cs="Times New Roman" w:asciiTheme="minorEastAsia" w:hAnsiTheme="minorEastAsia"/>
          <w:sz w:val="28"/>
          <w:szCs w:val="28"/>
        </w:rPr>
        <w:t>遵循“</w:t>
      </w:r>
      <w:r>
        <w:rPr>
          <w:rFonts w:hint="eastAsia" w:asciiTheme="minorEastAsia" w:hAnsiTheme="minorEastAsia"/>
          <w:sz w:val="28"/>
          <w:szCs w:val="28"/>
        </w:rPr>
        <w:t>以质为先、科学发展</w:t>
      </w:r>
      <w:r>
        <w:rPr>
          <w:rFonts w:cs="Times New Roman" w:asciiTheme="minorEastAsia" w:hAnsiTheme="minorEastAsia"/>
          <w:sz w:val="28"/>
          <w:szCs w:val="28"/>
        </w:rPr>
        <w:t>”的理念，严格遵循</w:t>
      </w:r>
      <w:r>
        <w:rPr>
          <w:rFonts w:hint="eastAsia" w:cs="Times New Roman" w:asciiTheme="minorEastAsia" w:hAnsiTheme="minorEastAsia"/>
          <w:sz w:val="28"/>
          <w:szCs w:val="28"/>
        </w:rPr>
        <w:t>中华人民共和国</w:t>
      </w:r>
      <w:r>
        <w:rPr>
          <w:rFonts w:cs="Times New Roman" w:asciiTheme="minorEastAsia" w:hAnsiTheme="minorEastAsia"/>
          <w:sz w:val="28"/>
          <w:szCs w:val="28"/>
        </w:rPr>
        <w:t>《公司法》、《经济法》、《合同法》、《产品质量法》、《安全生产法》、《环保法》、《劳动法》《劳动</w:t>
      </w:r>
      <w:r>
        <w:rPr>
          <w:rFonts w:hint="eastAsia" w:cs="Times New Roman" w:asciiTheme="minorEastAsia" w:hAnsiTheme="minorEastAsia"/>
          <w:sz w:val="28"/>
          <w:szCs w:val="28"/>
        </w:rPr>
        <w:t>合同</w:t>
      </w:r>
      <w:r>
        <w:rPr>
          <w:rFonts w:cs="Times New Roman" w:asciiTheme="minorEastAsia" w:hAnsiTheme="minorEastAsia"/>
          <w:sz w:val="28"/>
          <w:szCs w:val="28"/>
        </w:rPr>
        <w:t>法》以及</w:t>
      </w:r>
      <w:r>
        <w:rPr>
          <w:rFonts w:hint="eastAsia" w:cs="Times New Roman" w:asciiTheme="minorEastAsia" w:hAnsiTheme="minorEastAsia"/>
          <w:sz w:val="28"/>
          <w:szCs w:val="28"/>
        </w:rPr>
        <w:t>其他</w:t>
      </w:r>
      <w:r>
        <w:rPr>
          <w:rFonts w:cs="Times New Roman" w:asciiTheme="minorEastAsia" w:hAnsiTheme="minorEastAsia"/>
          <w:sz w:val="28"/>
          <w:szCs w:val="28"/>
        </w:rPr>
        <w:t>相关法律法规，加强员工法律知识培训，配合政府部门开展普法教育活动，使诚信守法的作风深入公司全体员工的意识和行为。公司合同主动违约率为零，从不拖欠银行贷款，逾期应收账款降至合理范围，公司高层、中层领导都没有违法乱纪纪录，员工违法次数为零，在</w:t>
      </w:r>
      <w:r>
        <w:rPr>
          <w:rFonts w:hint="eastAsia" w:cs="Times New Roman" w:asciiTheme="minorEastAsia" w:hAnsiTheme="minorEastAsia"/>
          <w:sz w:val="28"/>
          <w:szCs w:val="28"/>
        </w:rPr>
        <w:t>客户</w:t>
      </w:r>
      <w:r>
        <w:rPr>
          <w:rFonts w:cs="Times New Roman" w:asciiTheme="minorEastAsia" w:hAnsiTheme="minorEastAsia"/>
          <w:sz w:val="28"/>
          <w:szCs w:val="28"/>
        </w:rPr>
        <w:t>、</w:t>
      </w:r>
      <w:r>
        <w:rPr>
          <w:rFonts w:hint="eastAsia" w:cs="Times New Roman" w:asciiTheme="minorEastAsia" w:hAnsiTheme="minorEastAsia"/>
          <w:sz w:val="28"/>
          <w:szCs w:val="28"/>
        </w:rPr>
        <w:t>政府、</w:t>
      </w:r>
      <w:r>
        <w:rPr>
          <w:rFonts w:cs="Times New Roman" w:asciiTheme="minorEastAsia" w:hAnsiTheme="minorEastAsia"/>
          <w:sz w:val="28"/>
          <w:szCs w:val="28"/>
        </w:rPr>
        <w:t>公众、社会中树立了良好的信用道德形象。</w:t>
      </w:r>
      <w:bookmarkStart w:id="11" w:name="_Toc451610990"/>
      <w:bookmarkStart w:id="12" w:name="_Toc451610897"/>
    </w:p>
    <w:p w14:paraId="03ECE98E">
      <w:pPr>
        <w:spacing w:line="360" w:lineRule="auto"/>
        <w:ind w:firstLine="562" w:firstLineChars="200"/>
        <w:rPr>
          <w:rFonts w:cs="Times New Roman" w:asciiTheme="minorEastAsia" w:hAnsiTheme="minorEastAsia"/>
          <w:sz w:val="28"/>
          <w:szCs w:val="28"/>
        </w:rPr>
      </w:pPr>
      <w:r>
        <w:rPr>
          <w:rFonts w:hint="eastAsia" w:cs="Times New Roman" w:asciiTheme="majorEastAsia" w:hAnsiTheme="majorEastAsia" w:eastAsiaTheme="majorEastAsia"/>
          <w:b/>
          <w:sz w:val="28"/>
          <w:szCs w:val="28"/>
        </w:rPr>
        <w:t>（二）质量安全</w:t>
      </w:r>
      <w:bookmarkEnd w:id="11"/>
      <w:bookmarkEnd w:id="12"/>
    </w:p>
    <w:p w14:paraId="7C989B8B">
      <w:pPr>
        <w:spacing w:line="360" w:lineRule="auto"/>
        <w:ind w:firstLine="560" w:firstLineChars="200"/>
        <w:rPr>
          <w:rFonts w:cs="Times New Roman" w:asciiTheme="minorEastAsia" w:hAnsiTheme="minorEastAsia"/>
          <w:sz w:val="28"/>
          <w:szCs w:val="28"/>
        </w:rPr>
      </w:pPr>
      <w:bookmarkStart w:id="13" w:name="_Toc451610898"/>
      <w:bookmarkStart w:id="14" w:name="_Toc451610991"/>
      <w:r>
        <w:rPr>
          <w:rFonts w:hint="eastAsia" w:cs="Times New Roman" w:asciiTheme="minorEastAsia" w:hAnsiTheme="minorEastAsia"/>
          <w:sz w:val="28"/>
          <w:szCs w:val="28"/>
        </w:rPr>
        <w:t>本公司建立了总经理领导下的质量管理体系，建立了一支业务精、技术好、责任性强的质量检验和管理队伍，始终把好“三关”：一是把好原料关。原辅材料入库前必须进检测中心检测，合格的才能入库，不合格的坚决退货；二是把好半成品关。对等各个环节，做到每个班次抽检，并以检测中心抽检提出的意见为准，该返工的返工，该整修的整修。三是把好成品关。全部产品均按国家或行业标准进行检测，不合格产品决不出库销售。本公司质量检测设备齐全，检测手段完备，通过IS09001：2015质量管理体系认证。</w:t>
      </w:r>
    </w:p>
    <w:p w14:paraId="2A9DE652">
      <w:pPr>
        <w:spacing w:line="360" w:lineRule="auto"/>
        <w:ind w:firstLine="560" w:firstLineChars="200"/>
        <w:rPr>
          <w:rFonts w:cs="Times New Roman" w:asciiTheme="minorEastAsia" w:hAnsiTheme="minorEastAsia"/>
          <w:sz w:val="28"/>
          <w:szCs w:val="28"/>
        </w:rPr>
      </w:pPr>
      <w:r>
        <w:rPr>
          <w:rFonts w:hint="eastAsia" w:cs="Times New Roman" w:asciiTheme="minorEastAsia" w:hAnsiTheme="minorEastAsia"/>
          <w:sz w:val="28"/>
          <w:szCs w:val="28"/>
        </w:rPr>
        <w:t>产品市场信誉度良好。本公司通过走访客户，请客户到企业座谈，质量跟踪等多种形式，诚恳征求客户意见。2020年-2022年，未发生过因产品质量问题而产生的投诉和纠纷。经用户意见调查，国内外用户对本公司产品质量保证情况一致好评。</w:t>
      </w:r>
    </w:p>
    <w:p w14:paraId="2433C999">
      <w:pPr>
        <w:spacing w:line="360" w:lineRule="auto"/>
        <w:ind w:firstLine="562" w:firstLineChars="200"/>
        <w:rPr>
          <w:rFonts w:cs="Times New Roman" w:asciiTheme="minorEastAsia" w:hAnsiTheme="minorEastAsia"/>
          <w:sz w:val="28"/>
          <w:szCs w:val="28"/>
        </w:rPr>
      </w:pPr>
      <w:r>
        <w:rPr>
          <w:rFonts w:hint="eastAsia" w:cs="Times New Roman" w:asciiTheme="majorEastAsia" w:hAnsiTheme="majorEastAsia" w:eastAsiaTheme="majorEastAsia"/>
          <w:b/>
          <w:sz w:val="28"/>
          <w:szCs w:val="28"/>
        </w:rPr>
        <w:t>（三）员工权益</w:t>
      </w:r>
      <w:bookmarkEnd w:id="13"/>
      <w:bookmarkEnd w:id="14"/>
    </w:p>
    <w:p w14:paraId="25C8140B">
      <w:pPr>
        <w:topLinePunct/>
        <w:spacing w:line="360" w:lineRule="auto"/>
        <w:ind w:firstLine="560" w:firstLineChars="200"/>
        <w:jc w:val="left"/>
        <w:rPr>
          <w:rFonts w:ascii="宋体" w:hAnsi="宋体" w:eastAsia="宋体" w:cs="Times New Roman"/>
          <w:b/>
          <w:kern w:val="0"/>
          <w:sz w:val="28"/>
          <w:szCs w:val="28"/>
          <w:lang w:val="zh-CN"/>
        </w:rPr>
      </w:pPr>
      <w:r>
        <w:rPr>
          <w:rFonts w:hint="eastAsia" w:cs="Times New Roman" w:asciiTheme="minorEastAsia" w:hAnsiTheme="minorEastAsia"/>
          <w:kern w:val="0"/>
          <w:sz w:val="28"/>
          <w:szCs w:val="28"/>
        </w:rPr>
        <w:t>公司十分重视保障员工利益，增加文明建设的动力，“五金”社保在公司全覆盖。202</w:t>
      </w:r>
      <w:r>
        <w:rPr>
          <w:rFonts w:hint="eastAsia" w:cs="Times New Roman" w:asciiTheme="minorEastAsia" w:hAnsiTheme="minorEastAsia"/>
          <w:kern w:val="0"/>
          <w:sz w:val="28"/>
          <w:szCs w:val="28"/>
          <w:lang w:val="en-US" w:eastAsia="zh-CN"/>
        </w:rPr>
        <w:t>2</w:t>
      </w:r>
      <w:r>
        <w:rPr>
          <w:rFonts w:hint="eastAsia" w:cs="Times New Roman" w:asciiTheme="minorEastAsia" w:hAnsiTheme="minorEastAsia"/>
          <w:kern w:val="0"/>
          <w:sz w:val="28"/>
          <w:szCs w:val="28"/>
        </w:rPr>
        <w:t>年、202</w:t>
      </w:r>
      <w:r>
        <w:rPr>
          <w:rFonts w:hint="eastAsia" w:cs="Times New Roman" w:asciiTheme="minorEastAsia" w:hAnsiTheme="minorEastAsia"/>
          <w:kern w:val="0"/>
          <w:sz w:val="28"/>
          <w:szCs w:val="28"/>
          <w:lang w:val="en-US" w:eastAsia="zh-CN"/>
        </w:rPr>
        <w:t>3</w:t>
      </w:r>
      <w:r>
        <w:rPr>
          <w:rFonts w:hint="eastAsia" w:cs="Times New Roman" w:asciiTheme="minorEastAsia" w:hAnsiTheme="minorEastAsia"/>
          <w:kern w:val="0"/>
          <w:sz w:val="28"/>
          <w:szCs w:val="28"/>
        </w:rPr>
        <w:t>年、202</w:t>
      </w:r>
      <w:r>
        <w:rPr>
          <w:rFonts w:hint="eastAsia" w:cs="Times New Roman" w:asciiTheme="minorEastAsia" w:hAnsiTheme="minorEastAsia"/>
          <w:kern w:val="0"/>
          <w:sz w:val="28"/>
          <w:szCs w:val="28"/>
          <w:lang w:val="en-US" w:eastAsia="zh-CN"/>
        </w:rPr>
        <w:t>4</w:t>
      </w:r>
      <w:r>
        <w:rPr>
          <w:rFonts w:hint="eastAsia" w:cs="Times New Roman" w:asciiTheme="minorEastAsia" w:hAnsiTheme="minorEastAsia"/>
          <w:kern w:val="0"/>
          <w:sz w:val="28"/>
          <w:szCs w:val="28"/>
        </w:rPr>
        <w:t>年，公司为员工缴纳养老保险金、工伤保险金、医疗保险金、失业保险金、生育保险金分别为</w:t>
      </w:r>
      <w:r>
        <w:rPr>
          <w:rFonts w:hint="eastAsia" w:cs="Times New Roman" w:asciiTheme="minorEastAsia" w:hAnsiTheme="minorEastAsia"/>
          <w:kern w:val="0"/>
          <w:sz w:val="28"/>
          <w:szCs w:val="28"/>
          <w:lang w:val="en-US" w:eastAsia="zh-CN"/>
        </w:rPr>
        <w:t>122</w:t>
      </w:r>
      <w:r>
        <w:rPr>
          <w:rFonts w:hint="eastAsia" w:cs="Times New Roman" w:asciiTheme="minorEastAsia" w:hAnsiTheme="minorEastAsia"/>
          <w:kern w:val="0"/>
          <w:sz w:val="28"/>
          <w:szCs w:val="28"/>
        </w:rPr>
        <w:t>万元、12</w:t>
      </w:r>
      <w:r>
        <w:rPr>
          <w:rFonts w:hint="eastAsia" w:cs="Times New Roman" w:asciiTheme="minorEastAsia" w:hAnsiTheme="minorEastAsia"/>
          <w:kern w:val="0"/>
          <w:sz w:val="28"/>
          <w:szCs w:val="28"/>
          <w:lang w:val="en-US" w:eastAsia="zh-CN"/>
        </w:rPr>
        <w:t>7</w:t>
      </w:r>
      <w:r>
        <w:rPr>
          <w:rFonts w:hint="eastAsia" w:cs="Times New Roman" w:asciiTheme="minorEastAsia" w:hAnsiTheme="minorEastAsia"/>
          <w:kern w:val="0"/>
          <w:sz w:val="28"/>
          <w:szCs w:val="28"/>
        </w:rPr>
        <w:t>万元和</w:t>
      </w:r>
      <w:r>
        <w:rPr>
          <w:rFonts w:hint="eastAsia" w:cs="Times New Roman" w:asciiTheme="minorEastAsia" w:hAnsiTheme="minorEastAsia"/>
          <w:kern w:val="0"/>
          <w:sz w:val="28"/>
          <w:szCs w:val="28"/>
          <w:lang w:val="en-US" w:eastAsia="zh-CN"/>
        </w:rPr>
        <w:t>189</w:t>
      </w:r>
      <w:r>
        <w:rPr>
          <w:rFonts w:hint="eastAsia" w:asciiTheme="minorEastAsia" w:hAnsiTheme="minorEastAsia"/>
          <w:sz w:val="28"/>
          <w:szCs w:val="28"/>
        </w:rPr>
        <w:t>万元</w:t>
      </w:r>
      <w:r>
        <w:rPr>
          <w:rFonts w:hint="eastAsia" w:cs="Times New Roman" w:asciiTheme="minorEastAsia" w:hAnsiTheme="minorEastAsia"/>
          <w:kern w:val="0"/>
          <w:sz w:val="28"/>
          <w:szCs w:val="28"/>
        </w:rPr>
        <w:t>。与此同时，公司还十分关心员工的身体健康，公司规定不定期对员工进行身体健康检查。近年来多次组织员工到医院作健康体检，使员工做到有病早治，无病早防，保障了员工的身体健康，员工感到非常满意。对有职业危害因素接触的员工，给予防护措施并每年组织到医院职业健康检查。对生病员工或产假员工，公司委、工会领导必定上门探望、慰问，送上一份关爱和温暖。</w:t>
      </w:r>
    </w:p>
    <w:p w14:paraId="4DA215BB">
      <w:pPr>
        <w:spacing w:line="360" w:lineRule="auto"/>
        <w:ind w:firstLine="560"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要求广大员工树立自尊、自爱、自立、自强的性格，铸就责任心，良心，爱心，细心，用心的优秀品质，建立忠诚于国家，忠诚于客户，忠诚于企业，忠诚于家庭的美德。</w:t>
      </w:r>
    </w:p>
    <w:p w14:paraId="086C425F">
      <w:pPr>
        <w:topLinePunct/>
        <w:spacing w:line="360" w:lineRule="auto"/>
        <w:ind w:firstLine="560" w:firstLineChars="200"/>
        <w:rPr>
          <w:rFonts w:ascii="宋体" w:hAnsi="宋体" w:eastAsia="宋体" w:cs="Helvetica"/>
          <w:b/>
          <w:bCs/>
          <w:kern w:val="0"/>
          <w:sz w:val="28"/>
          <w:szCs w:val="28"/>
        </w:rPr>
      </w:pPr>
      <w:r>
        <w:rPr>
          <w:rFonts w:cs="Times New Roman" w:asciiTheme="minorEastAsia" w:hAnsiTheme="minorEastAsia"/>
          <w:sz w:val="28"/>
          <w:szCs w:val="28"/>
        </w:rPr>
        <w:t>公司高层领导通过微信平台、</w:t>
      </w:r>
      <w:r>
        <w:rPr>
          <w:rFonts w:hint="eastAsia" w:cs="Times New Roman" w:asciiTheme="minorEastAsia" w:hAnsiTheme="minorEastAsia"/>
          <w:sz w:val="28"/>
          <w:szCs w:val="28"/>
        </w:rPr>
        <w:t>总经理信箱、</w:t>
      </w:r>
      <w:r>
        <w:rPr>
          <w:rFonts w:cs="Times New Roman" w:asciiTheme="minorEastAsia" w:hAnsiTheme="minorEastAsia"/>
          <w:sz w:val="28"/>
          <w:szCs w:val="28"/>
        </w:rPr>
        <w:t>合理化建议、员工满意度调查、员工座谈会等形式，调查、了解员工意见和建议，获取员工满意度信息。明确的问题由</w:t>
      </w:r>
      <w:r>
        <w:rPr>
          <w:rFonts w:hint="eastAsia" w:cs="Times New Roman" w:asciiTheme="minorEastAsia" w:hAnsiTheme="minorEastAsia"/>
          <w:sz w:val="28"/>
          <w:szCs w:val="28"/>
        </w:rPr>
        <w:t>综合管理</w:t>
      </w:r>
      <w:r>
        <w:rPr>
          <w:rFonts w:cs="Times New Roman" w:asciiTheme="minorEastAsia" w:hAnsiTheme="minorEastAsia"/>
          <w:sz w:val="28"/>
          <w:szCs w:val="28"/>
        </w:rPr>
        <w:t>部负责跟踪督办，要求各相关职能部门在规定时间内进行处理。高层领导注重现场了解情况并在承诺时间内及时做出积极的反馈和处理。</w:t>
      </w:r>
      <w:bookmarkStart w:id="15" w:name="_Toc451610900"/>
      <w:bookmarkStart w:id="16" w:name="_Toc451610993"/>
    </w:p>
    <w:bookmarkEnd w:id="15"/>
    <w:bookmarkEnd w:id="16"/>
    <w:p w14:paraId="56C8B731">
      <w:pPr>
        <w:spacing w:line="360" w:lineRule="auto"/>
        <w:ind w:firstLine="596" w:firstLineChars="198"/>
        <w:outlineLvl w:val="0"/>
        <w:rPr>
          <w:rFonts w:cs="Times New Roman" w:asciiTheme="majorEastAsia" w:hAnsiTheme="majorEastAsia" w:eastAsiaTheme="majorEastAsia"/>
          <w:b/>
          <w:sz w:val="30"/>
          <w:szCs w:val="30"/>
        </w:rPr>
      </w:pPr>
      <w:r>
        <w:rPr>
          <w:rFonts w:hint="eastAsia" w:cs="Times New Roman" w:asciiTheme="majorEastAsia" w:hAnsiTheme="majorEastAsia" w:eastAsiaTheme="majorEastAsia"/>
          <w:b/>
          <w:sz w:val="30"/>
          <w:szCs w:val="30"/>
        </w:rPr>
        <w:t>六、环境责任</w:t>
      </w:r>
    </w:p>
    <w:p w14:paraId="2E94D8AA">
      <w:pPr>
        <w:topLinePunct/>
        <w:spacing w:line="360" w:lineRule="auto"/>
        <w:ind w:firstLine="560" w:firstLineChars="200"/>
        <w:rPr>
          <w:rFonts w:cs="Times New Roman" w:asciiTheme="minorEastAsia" w:hAnsiTheme="minorEastAsia"/>
          <w:sz w:val="28"/>
          <w:szCs w:val="28"/>
        </w:rPr>
      </w:pPr>
      <w:r>
        <w:rPr>
          <w:rFonts w:cs="Times New Roman" w:asciiTheme="minorEastAsia" w:hAnsiTheme="minorEastAsia"/>
          <w:sz w:val="28"/>
          <w:szCs w:val="28"/>
        </w:rPr>
        <w:t>公司坚持“</w:t>
      </w:r>
      <w:r>
        <w:rPr>
          <w:rFonts w:hint="eastAsia" w:cs="Times New Roman" w:asciiTheme="minorEastAsia" w:hAnsiTheme="minorEastAsia"/>
          <w:sz w:val="28"/>
          <w:szCs w:val="28"/>
        </w:rPr>
        <w:t>保护环境，达标排放</w:t>
      </w:r>
      <w:r>
        <w:rPr>
          <w:rFonts w:cs="Times New Roman" w:asciiTheme="minorEastAsia" w:hAnsiTheme="minorEastAsia"/>
          <w:sz w:val="28"/>
          <w:szCs w:val="28"/>
        </w:rPr>
        <w:t>”的环保方针，通过不断改进技术与工艺</w:t>
      </w:r>
      <w:r>
        <w:rPr>
          <w:rFonts w:hint="eastAsia" w:cs="Times New Roman" w:asciiTheme="minorEastAsia" w:hAnsiTheme="minorEastAsia"/>
          <w:sz w:val="28"/>
          <w:szCs w:val="28"/>
        </w:rPr>
        <w:t>,更换环保辅料</w:t>
      </w:r>
      <w:r>
        <w:rPr>
          <w:rFonts w:cs="Times New Roman" w:asciiTheme="minorEastAsia" w:hAnsiTheme="minorEastAsia"/>
          <w:sz w:val="28"/>
          <w:szCs w:val="28"/>
        </w:rPr>
        <w:t>，强化管理，减少各种废弃物的产生，保证各种污染物达标排放；通过节能降耗，不断提升能源、资源的使用效率；通过加强环保方面的培训，确保每一位员工认知日常工作生活行为对环境的影响。</w:t>
      </w:r>
      <w:bookmarkStart w:id="17" w:name="_Toc451610995"/>
      <w:bookmarkStart w:id="18" w:name="_Toc451610902"/>
    </w:p>
    <w:bookmarkEnd w:id="17"/>
    <w:bookmarkEnd w:id="18"/>
    <w:p w14:paraId="25ADCEB7">
      <w:pPr>
        <w:spacing w:line="360" w:lineRule="auto"/>
        <w:ind w:firstLine="560" w:firstLineChars="200"/>
        <w:rPr>
          <w:rFonts w:cs="Times New Roman" w:asciiTheme="minorEastAsia" w:hAnsiTheme="minorEastAsia"/>
          <w:kern w:val="0"/>
          <w:sz w:val="28"/>
          <w:szCs w:val="28"/>
          <w:lang w:val="zh-CN"/>
        </w:rPr>
      </w:pPr>
      <w:r>
        <w:rPr>
          <w:rFonts w:cs="Times New Roman" w:asciiTheme="minorEastAsia" w:hAnsiTheme="minorEastAsia"/>
          <w:kern w:val="0"/>
          <w:sz w:val="28"/>
          <w:szCs w:val="28"/>
          <w:lang w:val="zh-CN"/>
        </w:rPr>
        <w:t>公司非常重视环境影响控制，严格贯彻国家相关法律法规，颁布并实施了《</w:t>
      </w:r>
      <w:r>
        <w:rPr>
          <w:rFonts w:hint="eastAsia" w:cs="Times New Roman" w:asciiTheme="minorEastAsia" w:hAnsiTheme="minorEastAsia"/>
          <w:kern w:val="0"/>
          <w:sz w:val="28"/>
          <w:szCs w:val="28"/>
          <w:lang w:val="zh-CN"/>
        </w:rPr>
        <w:t>环境因素的识别与评价控制程序</w:t>
      </w:r>
      <w:r>
        <w:rPr>
          <w:rFonts w:cs="Times New Roman" w:asciiTheme="minorEastAsia" w:hAnsiTheme="minorEastAsia"/>
          <w:kern w:val="0"/>
          <w:sz w:val="28"/>
          <w:szCs w:val="28"/>
          <w:lang w:val="zh-CN"/>
        </w:rPr>
        <w:t>》《</w:t>
      </w:r>
      <w:r>
        <w:rPr>
          <w:rFonts w:hint="eastAsia" w:cs="Times New Roman" w:asciiTheme="minorEastAsia" w:hAnsiTheme="minorEastAsia"/>
          <w:kern w:val="0"/>
          <w:sz w:val="28"/>
          <w:szCs w:val="28"/>
          <w:lang w:val="zh-CN"/>
        </w:rPr>
        <w:t>环境运行控制程序</w:t>
      </w:r>
      <w:r>
        <w:rPr>
          <w:rFonts w:cs="Times New Roman" w:asciiTheme="minorEastAsia" w:hAnsiTheme="minorEastAsia"/>
          <w:kern w:val="0"/>
          <w:sz w:val="28"/>
          <w:szCs w:val="28"/>
          <w:lang w:val="zh-CN"/>
        </w:rPr>
        <w:t>》等制度和管理办法，公司制定了节能管理制度，采用节能设备；制定资源回收利用制度，对可利用资源进行回收利用。</w:t>
      </w:r>
    </w:p>
    <w:p w14:paraId="56AA10B8">
      <w:pPr>
        <w:spacing w:line="360" w:lineRule="auto"/>
        <w:ind w:firstLine="560" w:firstLineChars="200"/>
        <w:rPr>
          <w:rFonts w:asciiTheme="minorEastAsia" w:hAnsiTheme="minorEastAsia"/>
          <w:kern w:val="0"/>
          <w:sz w:val="28"/>
          <w:szCs w:val="28"/>
          <w:lang w:val="zh-CN"/>
        </w:rPr>
      </w:pPr>
      <w:r>
        <w:rPr>
          <w:rFonts w:hint="eastAsia" w:cs="Times New Roman" w:asciiTheme="minorEastAsia" w:hAnsiTheme="minorEastAsia"/>
          <w:kern w:val="0"/>
          <w:sz w:val="28"/>
          <w:szCs w:val="28"/>
          <w:lang w:val="zh-CN"/>
        </w:rPr>
        <w:t>近几年来，本公司投入大量资金，对环保设施进行了全面改造，运营成本也很高，但公司坚持环保生产，达标排放。</w:t>
      </w:r>
      <w:r>
        <w:rPr>
          <w:rFonts w:hint="eastAsia" w:asciiTheme="minorEastAsia" w:hAnsiTheme="minorEastAsia"/>
          <w:kern w:val="0"/>
          <w:sz w:val="28"/>
          <w:szCs w:val="28"/>
          <w:lang w:val="zh-CN"/>
        </w:rPr>
        <w:t>三年来，无环境污染事故，各污染源稳定达标排放，各类环境治理设施运转正常，公司产品的生产过程中不存在重污染的情况，对于生产过程中的废水、废气、固体废弃物和噪音问题，公司已采取了适当的环保措施，对周边环境的影响很小。</w:t>
      </w:r>
    </w:p>
    <w:p w14:paraId="372F98D3">
      <w:pPr>
        <w:pStyle w:val="85"/>
        <w:ind w:firstLine="596" w:firstLineChars="198"/>
        <w:rPr>
          <w:rFonts w:asciiTheme="minorEastAsia" w:hAnsiTheme="minorEastAsia" w:eastAsiaTheme="minorEastAsia"/>
          <w:b/>
          <w:bCs w:val="0"/>
          <w:kern w:val="0"/>
          <w:sz w:val="30"/>
          <w:szCs w:val="30"/>
          <w:lang w:val="zh-CN"/>
        </w:rPr>
      </w:pPr>
      <w:r>
        <w:rPr>
          <w:rFonts w:hint="eastAsia" w:asciiTheme="minorEastAsia" w:hAnsiTheme="minorEastAsia" w:eastAsiaTheme="minorEastAsia"/>
          <w:b/>
          <w:bCs w:val="0"/>
          <w:kern w:val="0"/>
          <w:sz w:val="30"/>
          <w:szCs w:val="30"/>
          <w:lang w:val="zh-CN"/>
        </w:rPr>
        <w:t>七、道德行为</w:t>
      </w:r>
    </w:p>
    <w:p w14:paraId="4ADFDF99">
      <w:pPr>
        <w:pStyle w:val="85"/>
        <w:ind w:firstLine="560"/>
        <w:rPr>
          <w:rFonts w:asciiTheme="minorEastAsia" w:hAnsiTheme="minorEastAsia" w:eastAsiaTheme="minorEastAsia"/>
          <w:bCs w:val="0"/>
          <w:kern w:val="0"/>
          <w:sz w:val="28"/>
          <w:szCs w:val="28"/>
          <w:lang w:val="zh-CN"/>
        </w:rPr>
      </w:pPr>
      <w:r>
        <w:rPr>
          <w:rFonts w:hint="eastAsia" w:asciiTheme="minorEastAsia" w:hAnsiTheme="minorEastAsia" w:eastAsiaTheme="minorEastAsia"/>
          <w:bCs w:val="0"/>
          <w:kern w:val="0"/>
          <w:sz w:val="28"/>
          <w:szCs w:val="28"/>
          <w:lang w:val="zh-CN"/>
        </w:rPr>
        <w:t>公司在生产经营活动中诚实、守信，获得顾客、供应商、环保、安监、质监、工商、税务等方面的广泛好评。</w:t>
      </w:r>
    </w:p>
    <w:p w14:paraId="49653C4C">
      <w:pPr>
        <w:pStyle w:val="85"/>
        <w:ind w:firstLine="602"/>
        <w:rPr>
          <w:rFonts w:asciiTheme="minorEastAsia" w:hAnsiTheme="minorEastAsia" w:eastAsiaTheme="minorEastAsia"/>
          <w:bCs w:val="0"/>
          <w:kern w:val="0"/>
          <w:sz w:val="28"/>
          <w:szCs w:val="28"/>
          <w:lang w:val="zh-CN"/>
        </w:rPr>
      </w:pPr>
      <w:r>
        <w:rPr>
          <w:rFonts w:hint="eastAsia" w:asciiTheme="minorEastAsia" w:hAnsiTheme="minorEastAsia" w:eastAsiaTheme="minorEastAsia"/>
          <w:b/>
          <w:bCs w:val="0"/>
          <w:kern w:val="0"/>
          <w:sz w:val="30"/>
          <w:szCs w:val="30"/>
          <w:lang w:val="zh-CN"/>
        </w:rPr>
        <w:t>八、公益支持</w:t>
      </w:r>
    </w:p>
    <w:p w14:paraId="591093E1">
      <w:pPr>
        <w:pStyle w:val="85"/>
        <w:ind w:firstLine="560"/>
        <w:rPr>
          <w:rFonts w:asciiTheme="minorEastAsia" w:hAnsiTheme="minorEastAsia" w:eastAsiaTheme="minorEastAsia"/>
          <w:bCs w:val="0"/>
          <w:kern w:val="0"/>
          <w:sz w:val="28"/>
          <w:szCs w:val="28"/>
          <w:lang w:val="zh-CN"/>
        </w:rPr>
      </w:pPr>
      <w:r>
        <w:rPr>
          <w:rFonts w:hint="eastAsia" w:asciiTheme="minorEastAsia" w:hAnsiTheme="minorEastAsia" w:eastAsiaTheme="minorEastAsia"/>
          <w:bCs w:val="0"/>
          <w:kern w:val="0"/>
          <w:sz w:val="28"/>
          <w:szCs w:val="28"/>
          <w:lang w:val="zh-CN"/>
        </w:rPr>
        <w:t>公司高层始终坚持对国家、社会、员工负责的社会公益价值取向，积极支持公益事业，将企业的发展成果回馈社会，实现企业与社会的和谐发展。</w:t>
      </w:r>
    </w:p>
    <w:p w14:paraId="1157EBC2">
      <w:pPr>
        <w:spacing w:line="360" w:lineRule="auto"/>
        <w:ind w:firstLine="560" w:firstLineChars="200"/>
        <w:rPr>
          <w:rFonts w:cs="Times New Roman" w:asciiTheme="minorEastAsia" w:hAnsiTheme="minorEastAsia"/>
          <w:kern w:val="0"/>
          <w:sz w:val="28"/>
          <w:szCs w:val="28"/>
          <w:lang w:val="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Arial Unicode MS">
    <w:altName w:val="宋体"/>
    <w:panose1 w:val="020B0604020202020204"/>
    <w:charset w:val="86"/>
    <w:family w:val="swiss"/>
    <w:pitch w:val="default"/>
    <w:sig w:usb0="00000000" w:usb1="00000000" w:usb2="0000003F" w:usb3="00000000" w:csb0="603F01FF" w:csb1="FFFF0000"/>
  </w:font>
  <w:font w:name="Helvetica-Narrow">
    <w:altName w:val="Segoe Print"/>
    <w:panose1 w:val="00000000000000000000"/>
    <w:charset w:val="00"/>
    <w:family w:val="swiss"/>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modern"/>
    <w:pitch w:val="default"/>
    <w:sig w:usb0="800002BF" w:usb1="38CF7CFA" w:usb2="00000016" w:usb3="00000000" w:csb0="00040001" w:csb1="00000000"/>
  </w:font>
  <w:font w:name="Helvetica">
    <w:altName w:val="Arial"/>
    <w:panose1 w:val="020B0604020202020204"/>
    <w:charset w:val="00"/>
    <w:family w:val="swiss"/>
    <w:pitch w:val="default"/>
    <w:sig w:usb0="00000000"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displayBackgroundShape w:val="1"/>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5536"/>
    <w:rsid w:val="000001E5"/>
    <w:rsid w:val="00004397"/>
    <w:rsid w:val="0001504B"/>
    <w:rsid w:val="00016EC2"/>
    <w:rsid w:val="00025FC1"/>
    <w:rsid w:val="00034F50"/>
    <w:rsid w:val="000350FA"/>
    <w:rsid w:val="00050D96"/>
    <w:rsid w:val="000519DC"/>
    <w:rsid w:val="000527DC"/>
    <w:rsid w:val="00054166"/>
    <w:rsid w:val="00066D0C"/>
    <w:rsid w:val="000739C1"/>
    <w:rsid w:val="0008405F"/>
    <w:rsid w:val="00093D9A"/>
    <w:rsid w:val="000A60E5"/>
    <w:rsid w:val="000B4A88"/>
    <w:rsid w:val="001113DC"/>
    <w:rsid w:val="00112F35"/>
    <w:rsid w:val="00116ECF"/>
    <w:rsid w:val="00126EDA"/>
    <w:rsid w:val="00142FF0"/>
    <w:rsid w:val="00155C68"/>
    <w:rsid w:val="00156C58"/>
    <w:rsid w:val="00161DCB"/>
    <w:rsid w:val="001642D3"/>
    <w:rsid w:val="0016450A"/>
    <w:rsid w:val="00165DCC"/>
    <w:rsid w:val="00166AB7"/>
    <w:rsid w:val="00174574"/>
    <w:rsid w:val="00177D03"/>
    <w:rsid w:val="001922F4"/>
    <w:rsid w:val="001A384C"/>
    <w:rsid w:val="001B6CC7"/>
    <w:rsid w:val="001D453B"/>
    <w:rsid w:val="001E09FA"/>
    <w:rsid w:val="001F317C"/>
    <w:rsid w:val="001F61C8"/>
    <w:rsid w:val="0020185A"/>
    <w:rsid w:val="00205BD5"/>
    <w:rsid w:val="00212379"/>
    <w:rsid w:val="00221189"/>
    <w:rsid w:val="00225468"/>
    <w:rsid w:val="00230092"/>
    <w:rsid w:val="002410F7"/>
    <w:rsid w:val="00241399"/>
    <w:rsid w:val="0024604C"/>
    <w:rsid w:val="002548CB"/>
    <w:rsid w:val="00257097"/>
    <w:rsid w:val="002578F9"/>
    <w:rsid w:val="00271E38"/>
    <w:rsid w:val="0027563A"/>
    <w:rsid w:val="002821FC"/>
    <w:rsid w:val="0028252C"/>
    <w:rsid w:val="002827AB"/>
    <w:rsid w:val="002B2124"/>
    <w:rsid w:val="002C07CD"/>
    <w:rsid w:val="002E5BE9"/>
    <w:rsid w:val="002E7AC1"/>
    <w:rsid w:val="00301CF8"/>
    <w:rsid w:val="00330422"/>
    <w:rsid w:val="00337B05"/>
    <w:rsid w:val="00343A58"/>
    <w:rsid w:val="003451DB"/>
    <w:rsid w:val="00347766"/>
    <w:rsid w:val="00357224"/>
    <w:rsid w:val="003574C0"/>
    <w:rsid w:val="00377118"/>
    <w:rsid w:val="0039077C"/>
    <w:rsid w:val="00397853"/>
    <w:rsid w:val="003C1BB2"/>
    <w:rsid w:val="003C2FB7"/>
    <w:rsid w:val="003E623F"/>
    <w:rsid w:val="004247F1"/>
    <w:rsid w:val="004432F6"/>
    <w:rsid w:val="004571AD"/>
    <w:rsid w:val="00463CC3"/>
    <w:rsid w:val="004A06E6"/>
    <w:rsid w:val="004A7E42"/>
    <w:rsid w:val="004B3C0A"/>
    <w:rsid w:val="004B491F"/>
    <w:rsid w:val="004C2936"/>
    <w:rsid w:val="004C7D03"/>
    <w:rsid w:val="004D3A08"/>
    <w:rsid w:val="004E7644"/>
    <w:rsid w:val="004F4214"/>
    <w:rsid w:val="004F4537"/>
    <w:rsid w:val="00500941"/>
    <w:rsid w:val="00516A84"/>
    <w:rsid w:val="00517E47"/>
    <w:rsid w:val="00525C48"/>
    <w:rsid w:val="00526A91"/>
    <w:rsid w:val="005408F6"/>
    <w:rsid w:val="00554B93"/>
    <w:rsid w:val="0055795C"/>
    <w:rsid w:val="00567FB3"/>
    <w:rsid w:val="00581AD7"/>
    <w:rsid w:val="00585C4E"/>
    <w:rsid w:val="005C1AC1"/>
    <w:rsid w:val="005C5A3E"/>
    <w:rsid w:val="005E118C"/>
    <w:rsid w:val="005E6362"/>
    <w:rsid w:val="005E667F"/>
    <w:rsid w:val="005E6AC6"/>
    <w:rsid w:val="005F4A83"/>
    <w:rsid w:val="0060288B"/>
    <w:rsid w:val="00614C8A"/>
    <w:rsid w:val="006150C3"/>
    <w:rsid w:val="0063496A"/>
    <w:rsid w:val="006417E1"/>
    <w:rsid w:val="0065503A"/>
    <w:rsid w:val="00671E41"/>
    <w:rsid w:val="00674C8E"/>
    <w:rsid w:val="00675A86"/>
    <w:rsid w:val="00685563"/>
    <w:rsid w:val="00695386"/>
    <w:rsid w:val="0069727C"/>
    <w:rsid w:val="006A107B"/>
    <w:rsid w:val="006A5B7C"/>
    <w:rsid w:val="006D689D"/>
    <w:rsid w:val="006E4109"/>
    <w:rsid w:val="006E4729"/>
    <w:rsid w:val="006F0D83"/>
    <w:rsid w:val="006F6F50"/>
    <w:rsid w:val="00705827"/>
    <w:rsid w:val="007123EA"/>
    <w:rsid w:val="007135C8"/>
    <w:rsid w:val="00716577"/>
    <w:rsid w:val="00730453"/>
    <w:rsid w:val="00730864"/>
    <w:rsid w:val="00730A7E"/>
    <w:rsid w:val="007624BF"/>
    <w:rsid w:val="00766E4B"/>
    <w:rsid w:val="00767175"/>
    <w:rsid w:val="007715B6"/>
    <w:rsid w:val="00773AD8"/>
    <w:rsid w:val="00793FD8"/>
    <w:rsid w:val="007A41E2"/>
    <w:rsid w:val="007B1A38"/>
    <w:rsid w:val="007B7CCA"/>
    <w:rsid w:val="007C551D"/>
    <w:rsid w:val="007F01B2"/>
    <w:rsid w:val="007F2821"/>
    <w:rsid w:val="007F35DF"/>
    <w:rsid w:val="007F77A7"/>
    <w:rsid w:val="00801FF9"/>
    <w:rsid w:val="00803860"/>
    <w:rsid w:val="00824AF2"/>
    <w:rsid w:val="008372E5"/>
    <w:rsid w:val="00841323"/>
    <w:rsid w:val="0084159E"/>
    <w:rsid w:val="00842DA0"/>
    <w:rsid w:val="008550D3"/>
    <w:rsid w:val="00855989"/>
    <w:rsid w:val="0086724F"/>
    <w:rsid w:val="00890821"/>
    <w:rsid w:val="008914CD"/>
    <w:rsid w:val="00891D61"/>
    <w:rsid w:val="00893C02"/>
    <w:rsid w:val="008B007D"/>
    <w:rsid w:val="008B4761"/>
    <w:rsid w:val="008C5777"/>
    <w:rsid w:val="008C6088"/>
    <w:rsid w:val="008D158F"/>
    <w:rsid w:val="008D6DB7"/>
    <w:rsid w:val="008E33D9"/>
    <w:rsid w:val="008E7DC2"/>
    <w:rsid w:val="008E7ECE"/>
    <w:rsid w:val="008F30F9"/>
    <w:rsid w:val="008F5F2B"/>
    <w:rsid w:val="00933C23"/>
    <w:rsid w:val="009346AC"/>
    <w:rsid w:val="009369F7"/>
    <w:rsid w:val="00951B16"/>
    <w:rsid w:val="00956C19"/>
    <w:rsid w:val="0095756F"/>
    <w:rsid w:val="00962126"/>
    <w:rsid w:val="009811C7"/>
    <w:rsid w:val="00981BEA"/>
    <w:rsid w:val="00987D0D"/>
    <w:rsid w:val="009B366E"/>
    <w:rsid w:val="009C3BD1"/>
    <w:rsid w:val="009C3CA0"/>
    <w:rsid w:val="009C6DA5"/>
    <w:rsid w:val="009F7CA5"/>
    <w:rsid w:val="009F7FA0"/>
    <w:rsid w:val="00A011F6"/>
    <w:rsid w:val="00A3115A"/>
    <w:rsid w:val="00A31629"/>
    <w:rsid w:val="00A322BA"/>
    <w:rsid w:val="00A32414"/>
    <w:rsid w:val="00A33B2C"/>
    <w:rsid w:val="00A41920"/>
    <w:rsid w:val="00A42E88"/>
    <w:rsid w:val="00A44B08"/>
    <w:rsid w:val="00A7750F"/>
    <w:rsid w:val="00AA0532"/>
    <w:rsid w:val="00AA1261"/>
    <w:rsid w:val="00AA3735"/>
    <w:rsid w:val="00AA4CFD"/>
    <w:rsid w:val="00AC4913"/>
    <w:rsid w:val="00AD3325"/>
    <w:rsid w:val="00AE1608"/>
    <w:rsid w:val="00AE1A91"/>
    <w:rsid w:val="00AF14DB"/>
    <w:rsid w:val="00B043CE"/>
    <w:rsid w:val="00B168BD"/>
    <w:rsid w:val="00B1748F"/>
    <w:rsid w:val="00B17FBF"/>
    <w:rsid w:val="00B27F08"/>
    <w:rsid w:val="00B3114F"/>
    <w:rsid w:val="00B35437"/>
    <w:rsid w:val="00B51E92"/>
    <w:rsid w:val="00B56A83"/>
    <w:rsid w:val="00B575F2"/>
    <w:rsid w:val="00B57705"/>
    <w:rsid w:val="00B65A19"/>
    <w:rsid w:val="00B70AEF"/>
    <w:rsid w:val="00B717F8"/>
    <w:rsid w:val="00B81A74"/>
    <w:rsid w:val="00B9573E"/>
    <w:rsid w:val="00BA0555"/>
    <w:rsid w:val="00BB1003"/>
    <w:rsid w:val="00BB2768"/>
    <w:rsid w:val="00BD1AAC"/>
    <w:rsid w:val="00BD23D5"/>
    <w:rsid w:val="00BE5401"/>
    <w:rsid w:val="00C01A4F"/>
    <w:rsid w:val="00C203A7"/>
    <w:rsid w:val="00C2303E"/>
    <w:rsid w:val="00C24970"/>
    <w:rsid w:val="00C24A8D"/>
    <w:rsid w:val="00C47E12"/>
    <w:rsid w:val="00C5769F"/>
    <w:rsid w:val="00C62CC5"/>
    <w:rsid w:val="00C63114"/>
    <w:rsid w:val="00C67D3E"/>
    <w:rsid w:val="00C718EE"/>
    <w:rsid w:val="00C72D50"/>
    <w:rsid w:val="00C740E5"/>
    <w:rsid w:val="00C75F8D"/>
    <w:rsid w:val="00C76CCB"/>
    <w:rsid w:val="00C777AD"/>
    <w:rsid w:val="00C92E19"/>
    <w:rsid w:val="00CC5CD4"/>
    <w:rsid w:val="00CD5536"/>
    <w:rsid w:val="00CE7041"/>
    <w:rsid w:val="00D0108B"/>
    <w:rsid w:val="00D01FA3"/>
    <w:rsid w:val="00D0238D"/>
    <w:rsid w:val="00D0298C"/>
    <w:rsid w:val="00D17347"/>
    <w:rsid w:val="00D17A7A"/>
    <w:rsid w:val="00D30E7B"/>
    <w:rsid w:val="00D40135"/>
    <w:rsid w:val="00D43FE8"/>
    <w:rsid w:val="00D47499"/>
    <w:rsid w:val="00D50FA7"/>
    <w:rsid w:val="00D53007"/>
    <w:rsid w:val="00D54ADD"/>
    <w:rsid w:val="00D56F1C"/>
    <w:rsid w:val="00D5746F"/>
    <w:rsid w:val="00D6065C"/>
    <w:rsid w:val="00D61E4D"/>
    <w:rsid w:val="00D64D1B"/>
    <w:rsid w:val="00D700CE"/>
    <w:rsid w:val="00D7240D"/>
    <w:rsid w:val="00D76656"/>
    <w:rsid w:val="00D82695"/>
    <w:rsid w:val="00D90454"/>
    <w:rsid w:val="00D90D94"/>
    <w:rsid w:val="00D958DE"/>
    <w:rsid w:val="00DA1BE3"/>
    <w:rsid w:val="00DA6D6C"/>
    <w:rsid w:val="00DB071E"/>
    <w:rsid w:val="00DB68E2"/>
    <w:rsid w:val="00DC19A1"/>
    <w:rsid w:val="00DC3AC4"/>
    <w:rsid w:val="00DC426C"/>
    <w:rsid w:val="00DC7C90"/>
    <w:rsid w:val="00DE0E72"/>
    <w:rsid w:val="00DF460E"/>
    <w:rsid w:val="00DF4CEC"/>
    <w:rsid w:val="00E103D9"/>
    <w:rsid w:val="00E21422"/>
    <w:rsid w:val="00E271D6"/>
    <w:rsid w:val="00E363C7"/>
    <w:rsid w:val="00E461BD"/>
    <w:rsid w:val="00E54282"/>
    <w:rsid w:val="00E62F63"/>
    <w:rsid w:val="00E74393"/>
    <w:rsid w:val="00E762C9"/>
    <w:rsid w:val="00E835B8"/>
    <w:rsid w:val="00E8715F"/>
    <w:rsid w:val="00EA43FF"/>
    <w:rsid w:val="00EC291A"/>
    <w:rsid w:val="00ED0FE3"/>
    <w:rsid w:val="00EF59C2"/>
    <w:rsid w:val="00EF7FEC"/>
    <w:rsid w:val="00F238B6"/>
    <w:rsid w:val="00F24DC6"/>
    <w:rsid w:val="00F270A4"/>
    <w:rsid w:val="00F32D08"/>
    <w:rsid w:val="00F47C1D"/>
    <w:rsid w:val="00F76D0A"/>
    <w:rsid w:val="00F87EC6"/>
    <w:rsid w:val="00FC329A"/>
    <w:rsid w:val="00FD448D"/>
    <w:rsid w:val="00FE2C6C"/>
    <w:rsid w:val="00FF394C"/>
    <w:rsid w:val="00FF3A05"/>
    <w:rsid w:val="00FF67C6"/>
    <w:rsid w:val="01915353"/>
    <w:rsid w:val="03A93886"/>
    <w:rsid w:val="05205355"/>
    <w:rsid w:val="099C3C23"/>
    <w:rsid w:val="0DBC2083"/>
    <w:rsid w:val="14450B0D"/>
    <w:rsid w:val="14C16BA6"/>
    <w:rsid w:val="15E4163C"/>
    <w:rsid w:val="1C5E20B1"/>
    <w:rsid w:val="1FE32AA5"/>
    <w:rsid w:val="223775AC"/>
    <w:rsid w:val="23DB1D7E"/>
    <w:rsid w:val="25CC691E"/>
    <w:rsid w:val="277B0325"/>
    <w:rsid w:val="2EC02CAE"/>
    <w:rsid w:val="2F91426B"/>
    <w:rsid w:val="31726B84"/>
    <w:rsid w:val="421B633B"/>
    <w:rsid w:val="4CB54AB5"/>
    <w:rsid w:val="5F11763E"/>
    <w:rsid w:val="5F7610AD"/>
    <w:rsid w:val="634B6338"/>
    <w:rsid w:val="6D1A1CFA"/>
    <w:rsid w:val="732F36FA"/>
    <w:rsid w:val="771B2B01"/>
    <w:rsid w:val="7A96222C"/>
    <w:rsid w:val="7EF87D0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iPriority="9" w:semiHidden="0" w:name="heading 6"/>
    <w:lsdException w:qFormat="1" w:uiPriority="9" w:semiHidden="0" w:name="heading 7"/>
    <w:lsdException w:qFormat="1" w:uiPriority="9" w:name="heading 8"/>
    <w:lsdException w:qFormat="1" w:uiPriority="9"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semiHidden="0" w:name="caption"/>
    <w:lsdException w:uiPriority="99" w:name="table of figures"/>
    <w:lsdException w:uiPriority="99" w:name="envelope address"/>
    <w:lsdException w:uiPriority="99" w:name="envelope return"/>
    <w:lsdException w:uiPriority="99" w:name="footnote reference"/>
    <w:lsdException w:qFormat="1" w:uiPriority="0" w:semiHidden="0" w:name="annotation reference"/>
    <w:lsdException w:uiPriority="99" w:name="line number"/>
    <w:lsdException w:uiPriority="99" w:name="page number"/>
    <w:lsdException w:qFormat="1" w:uiPriority="99" w:semiHidden="0" w:name="endnote reference"/>
    <w:lsdException w:qFormat="1" w:uiPriority="99" w:semiHidden="0" w:name="endnote text"/>
    <w:lsdException w:uiPriority="99" w:name="table of authorities"/>
    <w:lsdException w:uiPriority="99" w:name="macro"/>
    <w:lsdException w:qFormat="1" w:unhideWhenUsed="0" w:uiPriority="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qFormat="1" w:unhideWhenUsed="0" w:uiPriority="0" w:semiHidden="0"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nhideWhenUsed="0" w:uiPriority="99" w:semiHidden="0" w:name="Salutation"/>
    <w:lsdException w:qFormat="1" w:unhideWhenUsed="0" w:uiPriority="99" w:semiHidden="0" w:name="Date"/>
    <w:lsdException w:uiPriority="99" w:name="Body Text First Indent"/>
    <w:lsdException w:uiPriority="99" w:name="Body Text First Indent 2"/>
    <w:lsdException w:qFormat="1" w:unhideWhenUsed="0" w:uiPriority="99" w:semiHidden="0" w:name="Note Heading"/>
    <w:lsdException w:qFormat="1" w:uiPriority="99" w:semiHidden="0"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semiHidden="0"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54"/>
    <w:qFormat/>
    <w:uiPriority w:val="99"/>
    <w:pPr>
      <w:keepNext/>
      <w:keepLines/>
      <w:spacing w:before="340" w:after="330" w:line="578" w:lineRule="auto"/>
      <w:outlineLvl w:val="0"/>
    </w:pPr>
    <w:rPr>
      <w:b/>
      <w:bCs/>
      <w:kern w:val="44"/>
      <w:sz w:val="44"/>
      <w:szCs w:val="44"/>
    </w:rPr>
  </w:style>
  <w:style w:type="paragraph" w:styleId="3">
    <w:name w:val="heading 2"/>
    <w:basedOn w:val="1"/>
    <w:next w:val="1"/>
    <w:link w:val="56"/>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57"/>
    <w:qFormat/>
    <w:uiPriority w:val="9"/>
    <w:pPr>
      <w:keepNext/>
      <w:keepLines/>
      <w:spacing w:before="60" w:after="60"/>
      <w:outlineLvl w:val="2"/>
    </w:pPr>
    <w:rPr>
      <w:rFonts w:ascii="Calibri" w:hAnsi="Calibri" w:eastAsia="宋体" w:cs="Times New Roman"/>
      <w:b/>
      <w:bCs/>
      <w:szCs w:val="32"/>
    </w:rPr>
  </w:style>
  <w:style w:type="paragraph" w:styleId="5">
    <w:name w:val="heading 4"/>
    <w:basedOn w:val="1"/>
    <w:next w:val="1"/>
    <w:link w:val="58"/>
    <w:qFormat/>
    <w:uiPriority w:val="9"/>
    <w:pPr>
      <w:keepNext/>
      <w:keepLines/>
      <w:spacing w:before="60" w:after="60"/>
      <w:outlineLvl w:val="3"/>
    </w:pPr>
    <w:rPr>
      <w:rFonts w:ascii="Cambria" w:hAnsi="Cambria" w:eastAsia="宋体" w:cs="Times New Roman"/>
      <w:b/>
      <w:bCs/>
      <w:szCs w:val="28"/>
    </w:rPr>
  </w:style>
  <w:style w:type="paragraph" w:styleId="6">
    <w:name w:val="heading 5"/>
    <w:basedOn w:val="1"/>
    <w:next w:val="1"/>
    <w:link w:val="59"/>
    <w:qFormat/>
    <w:uiPriority w:val="9"/>
    <w:pPr>
      <w:keepNext/>
      <w:keepLines/>
      <w:spacing w:before="60" w:after="60"/>
      <w:outlineLvl w:val="4"/>
    </w:pPr>
    <w:rPr>
      <w:rFonts w:ascii="Calibri" w:hAnsi="Calibri" w:eastAsia="宋体" w:cs="Times New Roman"/>
      <w:b/>
      <w:bCs/>
      <w:szCs w:val="28"/>
    </w:rPr>
  </w:style>
  <w:style w:type="paragraph" w:styleId="7">
    <w:name w:val="heading 6"/>
    <w:basedOn w:val="1"/>
    <w:next w:val="1"/>
    <w:link w:val="60"/>
    <w:unhideWhenUsed/>
    <w:qFormat/>
    <w:uiPriority w:val="9"/>
    <w:pPr>
      <w:keepNext/>
      <w:keepLines/>
      <w:widowControl/>
      <w:spacing w:before="60" w:after="60"/>
      <w:jc w:val="left"/>
      <w:outlineLvl w:val="5"/>
    </w:pPr>
    <w:rPr>
      <w:rFonts w:eastAsia="宋体" w:asciiTheme="majorHAnsi" w:hAnsiTheme="majorHAnsi" w:cstheme="majorBidi"/>
      <w:b/>
      <w:bCs/>
      <w:kern w:val="0"/>
      <w:szCs w:val="24"/>
    </w:rPr>
  </w:style>
  <w:style w:type="paragraph" w:styleId="8">
    <w:name w:val="heading 7"/>
    <w:basedOn w:val="1"/>
    <w:next w:val="1"/>
    <w:link w:val="61"/>
    <w:unhideWhenUsed/>
    <w:qFormat/>
    <w:uiPriority w:val="9"/>
    <w:pPr>
      <w:keepNext/>
      <w:keepLines/>
      <w:widowControl/>
      <w:spacing w:before="240" w:after="64" w:line="320" w:lineRule="auto"/>
      <w:jc w:val="left"/>
      <w:outlineLvl w:val="6"/>
    </w:pPr>
    <w:rPr>
      <w:rFonts w:ascii="宋体" w:hAnsi="宋体" w:eastAsia="宋体" w:cs="宋体"/>
      <w:b/>
      <w:bCs/>
      <w:kern w:val="0"/>
      <w:sz w:val="24"/>
      <w:szCs w:val="24"/>
    </w:rPr>
  </w:style>
  <w:style w:type="character" w:default="1" w:styleId="40">
    <w:name w:val="Default Paragraph Font"/>
    <w:semiHidden/>
    <w:unhideWhenUsed/>
    <w:qFormat/>
    <w:uiPriority w:val="1"/>
  </w:style>
  <w:style w:type="table" w:default="1" w:styleId="38">
    <w:name w:val="Normal Table"/>
    <w:semiHidden/>
    <w:unhideWhenUsed/>
    <w:qFormat/>
    <w:uiPriority w:val="99"/>
    <w:tblPr>
      <w:tblCellMar>
        <w:top w:w="0" w:type="dxa"/>
        <w:left w:w="108" w:type="dxa"/>
        <w:bottom w:w="0" w:type="dxa"/>
        <w:right w:w="108" w:type="dxa"/>
      </w:tblCellMar>
    </w:tblPr>
  </w:style>
  <w:style w:type="paragraph" w:styleId="9">
    <w:name w:val="toc 7"/>
    <w:basedOn w:val="1"/>
    <w:next w:val="1"/>
    <w:unhideWhenUsed/>
    <w:qFormat/>
    <w:uiPriority w:val="39"/>
    <w:pPr>
      <w:ind w:left="2520" w:leftChars="1200"/>
    </w:pPr>
  </w:style>
  <w:style w:type="paragraph" w:styleId="10">
    <w:name w:val="Note Heading"/>
    <w:basedOn w:val="1"/>
    <w:next w:val="1"/>
    <w:link w:val="70"/>
    <w:qFormat/>
    <w:uiPriority w:val="99"/>
    <w:pPr>
      <w:jc w:val="center"/>
    </w:pPr>
    <w:rPr>
      <w:rFonts w:ascii="Times New Roman" w:hAnsi="Times New Roman" w:eastAsia="宋体" w:cs="Times New Roman"/>
      <w:szCs w:val="21"/>
    </w:rPr>
  </w:style>
  <w:style w:type="paragraph" w:styleId="11">
    <w:name w:val="Normal Indent"/>
    <w:basedOn w:val="1"/>
    <w:qFormat/>
    <w:uiPriority w:val="0"/>
    <w:pPr>
      <w:ind w:firstLine="420" w:firstLineChars="200"/>
    </w:pPr>
    <w:rPr>
      <w:rFonts w:ascii="Times New Roman" w:hAnsi="Times New Roman" w:eastAsia="宋体" w:cs="Times New Roman"/>
      <w:szCs w:val="21"/>
    </w:rPr>
  </w:style>
  <w:style w:type="paragraph" w:styleId="12">
    <w:name w:val="caption"/>
    <w:basedOn w:val="1"/>
    <w:next w:val="1"/>
    <w:unhideWhenUsed/>
    <w:qFormat/>
    <w:uiPriority w:val="35"/>
    <w:rPr>
      <w:rFonts w:eastAsia="黑体" w:asciiTheme="majorHAnsi" w:hAnsiTheme="majorHAnsi" w:cstheme="majorBidi"/>
      <w:sz w:val="20"/>
      <w:szCs w:val="20"/>
    </w:rPr>
  </w:style>
  <w:style w:type="paragraph" w:styleId="13">
    <w:name w:val="Document Map"/>
    <w:basedOn w:val="1"/>
    <w:link w:val="75"/>
    <w:unhideWhenUsed/>
    <w:qFormat/>
    <w:uiPriority w:val="99"/>
    <w:rPr>
      <w:rFonts w:ascii="宋体" w:hAnsi="Calibri" w:eastAsia="宋体" w:cs="Times New Roman"/>
      <w:sz w:val="18"/>
      <w:szCs w:val="18"/>
    </w:rPr>
  </w:style>
  <w:style w:type="paragraph" w:styleId="14">
    <w:name w:val="toa heading"/>
    <w:basedOn w:val="1"/>
    <w:next w:val="1"/>
    <w:semiHidden/>
    <w:qFormat/>
    <w:uiPriority w:val="0"/>
    <w:pPr>
      <w:spacing w:before="120"/>
    </w:pPr>
    <w:rPr>
      <w:rFonts w:ascii="Arial" w:hAnsi="Arial" w:eastAsia="宋体" w:cs="Times New Roman"/>
      <w:b/>
      <w:bCs/>
      <w:szCs w:val="21"/>
    </w:rPr>
  </w:style>
  <w:style w:type="paragraph" w:styleId="15">
    <w:name w:val="annotation text"/>
    <w:basedOn w:val="1"/>
    <w:link w:val="51"/>
    <w:unhideWhenUsed/>
    <w:qFormat/>
    <w:uiPriority w:val="99"/>
    <w:pPr>
      <w:jc w:val="left"/>
    </w:pPr>
  </w:style>
  <w:style w:type="paragraph" w:styleId="16">
    <w:name w:val="Salutation"/>
    <w:basedOn w:val="1"/>
    <w:next w:val="1"/>
    <w:link w:val="62"/>
    <w:qFormat/>
    <w:uiPriority w:val="99"/>
    <w:rPr>
      <w:rFonts w:ascii="Times New Roman" w:hAnsi="Times New Roman" w:eastAsia="宋体" w:cs="Times New Roman"/>
      <w:szCs w:val="21"/>
    </w:rPr>
  </w:style>
  <w:style w:type="paragraph" w:styleId="17">
    <w:name w:val="List Bullet 3"/>
    <w:basedOn w:val="1"/>
    <w:qFormat/>
    <w:uiPriority w:val="0"/>
    <w:pPr>
      <w:tabs>
        <w:tab w:val="left" w:pos="1200"/>
      </w:tabs>
    </w:pPr>
    <w:rPr>
      <w:rFonts w:ascii="Times New Roman" w:hAnsi="Times New Roman" w:eastAsia="宋体" w:cs="Times New Roman"/>
      <w:szCs w:val="21"/>
    </w:rPr>
  </w:style>
  <w:style w:type="paragraph" w:styleId="18">
    <w:name w:val="Body Text"/>
    <w:basedOn w:val="1"/>
    <w:link w:val="67"/>
    <w:qFormat/>
    <w:uiPriority w:val="99"/>
    <w:pPr>
      <w:spacing w:after="120"/>
    </w:pPr>
    <w:rPr>
      <w:rFonts w:ascii="Times New Roman" w:hAnsi="Times New Roman" w:eastAsia="宋体" w:cs="Times New Roman"/>
      <w:szCs w:val="21"/>
    </w:rPr>
  </w:style>
  <w:style w:type="paragraph" w:styleId="19">
    <w:name w:val="toc 5"/>
    <w:basedOn w:val="1"/>
    <w:next w:val="1"/>
    <w:unhideWhenUsed/>
    <w:qFormat/>
    <w:uiPriority w:val="39"/>
    <w:pPr>
      <w:ind w:left="1680" w:leftChars="800"/>
    </w:pPr>
  </w:style>
  <w:style w:type="paragraph" w:styleId="20">
    <w:name w:val="toc 3"/>
    <w:basedOn w:val="1"/>
    <w:next w:val="1"/>
    <w:unhideWhenUsed/>
    <w:qFormat/>
    <w:uiPriority w:val="39"/>
    <w:pPr>
      <w:widowControl/>
      <w:spacing w:after="100" w:line="276" w:lineRule="auto"/>
      <w:ind w:left="440"/>
      <w:jc w:val="left"/>
    </w:pPr>
    <w:rPr>
      <w:rFonts w:ascii="Calibri" w:hAnsi="Calibri" w:eastAsia="宋体" w:cs="Times New Roman"/>
      <w:kern w:val="0"/>
      <w:sz w:val="22"/>
    </w:rPr>
  </w:style>
  <w:style w:type="paragraph" w:styleId="21">
    <w:name w:val="Plain Text"/>
    <w:basedOn w:val="1"/>
    <w:link w:val="65"/>
    <w:qFormat/>
    <w:uiPriority w:val="0"/>
    <w:rPr>
      <w:rFonts w:ascii="宋体" w:hAnsi="Courier New" w:eastAsia="宋体" w:cs="Times New Roman"/>
      <w:szCs w:val="20"/>
    </w:rPr>
  </w:style>
  <w:style w:type="paragraph" w:styleId="22">
    <w:name w:val="toc 8"/>
    <w:basedOn w:val="1"/>
    <w:next w:val="1"/>
    <w:unhideWhenUsed/>
    <w:qFormat/>
    <w:uiPriority w:val="39"/>
    <w:pPr>
      <w:ind w:left="2940" w:leftChars="1400"/>
    </w:pPr>
  </w:style>
  <w:style w:type="paragraph" w:styleId="23">
    <w:name w:val="Date"/>
    <w:basedOn w:val="1"/>
    <w:next w:val="1"/>
    <w:link w:val="69"/>
    <w:qFormat/>
    <w:uiPriority w:val="99"/>
    <w:pPr>
      <w:ind w:left="100" w:leftChars="2500"/>
    </w:pPr>
    <w:rPr>
      <w:rFonts w:ascii="Times New Roman" w:hAnsi="Times New Roman" w:eastAsia="宋体" w:cs="Times New Roman"/>
      <w:szCs w:val="21"/>
    </w:rPr>
  </w:style>
  <w:style w:type="paragraph" w:styleId="24">
    <w:name w:val="endnote text"/>
    <w:basedOn w:val="1"/>
    <w:link w:val="79"/>
    <w:unhideWhenUsed/>
    <w:qFormat/>
    <w:uiPriority w:val="99"/>
    <w:pPr>
      <w:widowControl/>
      <w:snapToGrid w:val="0"/>
      <w:jc w:val="left"/>
    </w:pPr>
    <w:rPr>
      <w:rFonts w:ascii="宋体" w:hAnsi="宋体" w:eastAsia="宋体" w:cs="宋体"/>
      <w:kern w:val="0"/>
      <w:szCs w:val="24"/>
    </w:rPr>
  </w:style>
  <w:style w:type="paragraph" w:styleId="25">
    <w:name w:val="Balloon Text"/>
    <w:basedOn w:val="1"/>
    <w:link w:val="53"/>
    <w:unhideWhenUsed/>
    <w:qFormat/>
    <w:uiPriority w:val="99"/>
    <w:rPr>
      <w:sz w:val="18"/>
      <w:szCs w:val="18"/>
    </w:rPr>
  </w:style>
  <w:style w:type="paragraph" w:styleId="26">
    <w:name w:val="footer"/>
    <w:basedOn w:val="1"/>
    <w:link w:val="45"/>
    <w:unhideWhenUsed/>
    <w:qFormat/>
    <w:uiPriority w:val="99"/>
    <w:pPr>
      <w:tabs>
        <w:tab w:val="center" w:pos="4153"/>
        <w:tab w:val="right" w:pos="8306"/>
      </w:tabs>
      <w:snapToGrid w:val="0"/>
      <w:jc w:val="left"/>
    </w:pPr>
    <w:rPr>
      <w:sz w:val="18"/>
      <w:szCs w:val="18"/>
    </w:rPr>
  </w:style>
  <w:style w:type="paragraph" w:styleId="27">
    <w:name w:val="header"/>
    <w:basedOn w:val="1"/>
    <w:link w:val="44"/>
    <w:unhideWhenUsed/>
    <w:qFormat/>
    <w:uiPriority w:val="99"/>
    <w:pPr>
      <w:pBdr>
        <w:bottom w:val="single" w:color="auto" w:sz="6" w:space="1"/>
      </w:pBdr>
      <w:tabs>
        <w:tab w:val="center" w:pos="4153"/>
        <w:tab w:val="right" w:pos="8306"/>
      </w:tabs>
      <w:snapToGrid w:val="0"/>
      <w:jc w:val="center"/>
    </w:pPr>
    <w:rPr>
      <w:sz w:val="18"/>
      <w:szCs w:val="18"/>
    </w:rPr>
  </w:style>
  <w:style w:type="paragraph" w:styleId="28">
    <w:name w:val="toc 1"/>
    <w:basedOn w:val="1"/>
    <w:next w:val="1"/>
    <w:unhideWhenUsed/>
    <w:qFormat/>
    <w:uiPriority w:val="39"/>
  </w:style>
  <w:style w:type="paragraph" w:styleId="29">
    <w:name w:val="toc 4"/>
    <w:basedOn w:val="1"/>
    <w:next w:val="1"/>
    <w:unhideWhenUsed/>
    <w:qFormat/>
    <w:uiPriority w:val="39"/>
    <w:pPr>
      <w:ind w:left="1260" w:leftChars="600"/>
    </w:pPr>
  </w:style>
  <w:style w:type="paragraph" w:styleId="30">
    <w:name w:val="toc 6"/>
    <w:basedOn w:val="1"/>
    <w:next w:val="1"/>
    <w:unhideWhenUsed/>
    <w:qFormat/>
    <w:uiPriority w:val="39"/>
    <w:pPr>
      <w:ind w:left="2100" w:leftChars="1000"/>
    </w:pPr>
  </w:style>
  <w:style w:type="paragraph" w:styleId="31">
    <w:name w:val="toc 2"/>
    <w:basedOn w:val="1"/>
    <w:next w:val="1"/>
    <w:unhideWhenUsed/>
    <w:qFormat/>
    <w:uiPriority w:val="39"/>
    <w:pPr>
      <w:ind w:left="420" w:leftChars="200"/>
    </w:pPr>
  </w:style>
  <w:style w:type="paragraph" w:styleId="32">
    <w:name w:val="toc 9"/>
    <w:basedOn w:val="1"/>
    <w:next w:val="1"/>
    <w:unhideWhenUsed/>
    <w:qFormat/>
    <w:uiPriority w:val="39"/>
    <w:pPr>
      <w:ind w:left="3360" w:leftChars="1600"/>
    </w:pPr>
  </w:style>
  <w:style w:type="paragraph" w:styleId="33">
    <w:name w:val="Body Text 2"/>
    <w:basedOn w:val="1"/>
    <w:link w:val="86"/>
    <w:unhideWhenUsed/>
    <w:qFormat/>
    <w:uiPriority w:val="99"/>
    <w:pPr>
      <w:spacing w:after="120" w:line="480" w:lineRule="auto"/>
    </w:pPr>
  </w:style>
  <w:style w:type="paragraph" w:styleId="34">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35">
    <w:name w:val="index 1"/>
    <w:basedOn w:val="1"/>
    <w:next w:val="1"/>
    <w:semiHidden/>
    <w:qFormat/>
    <w:uiPriority w:val="0"/>
    <w:pPr>
      <w:widowControl/>
      <w:ind w:firstLine="420" w:firstLineChars="200"/>
      <w:jc w:val="left"/>
    </w:pPr>
    <w:rPr>
      <w:rFonts w:ascii="宋体" w:hAnsi="宋体" w:eastAsia="宋体" w:cs="Times New Roman"/>
      <w:color w:val="000000"/>
      <w:kern w:val="0"/>
      <w:szCs w:val="21"/>
    </w:rPr>
  </w:style>
  <w:style w:type="paragraph" w:styleId="36">
    <w:name w:val="Title"/>
    <w:basedOn w:val="1"/>
    <w:next w:val="1"/>
    <w:link w:val="77"/>
    <w:qFormat/>
    <w:uiPriority w:val="0"/>
    <w:pPr>
      <w:spacing w:before="240" w:after="60"/>
      <w:jc w:val="center"/>
      <w:outlineLvl w:val="0"/>
    </w:pPr>
    <w:rPr>
      <w:rFonts w:eastAsia="宋体" w:asciiTheme="majorHAnsi" w:hAnsiTheme="majorHAnsi" w:cstheme="majorBidi"/>
      <w:b/>
      <w:bCs/>
      <w:sz w:val="32"/>
      <w:szCs w:val="32"/>
    </w:rPr>
  </w:style>
  <w:style w:type="paragraph" w:styleId="37">
    <w:name w:val="annotation subject"/>
    <w:basedOn w:val="15"/>
    <w:next w:val="15"/>
    <w:link w:val="52"/>
    <w:unhideWhenUsed/>
    <w:qFormat/>
    <w:uiPriority w:val="99"/>
    <w:rPr>
      <w:b/>
      <w:bCs/>
    </w:rPr>
  </w:style>
  <w:style w:type="table" w:styleId="39">
    <w:name w:val="Table Grid"/>
    <w:basedOn w:val="3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1">
    <w:name w:val="endnote reference"/>
    <w:basedOn w:val="40"/>
    <w:unhideWhenUsed/>
    <w:qFormat/>
    <w:uiPriority w:val="99"/>
    <w:rPr>
      <w:vertAlign w:val="superscript"/>
    </w:rPr>
  </w:style>
  <w:style w:type="character" w:styleId="42">
    <w:name w:val="Hyperlink"/>
    <w:basedOn w:val="40"/>
    <w:unhideWhenUsed/>
    <w:qFormat/>
    <w:uiPriority w:val="99"/>
    <w:rPr>
      <w:color w:val="0563C1" w:themeColor="hyperlink"/>
      <w:u w:val="single"/>
      <w14:textFill>
        <w14:solidFill>
          <w14:schemeClr w14:val="hlink"/>
        </w14:solidFill>
      </w14:textFill>
    </w:rPr>
  </w:style>
  <w:style w:type="character" w:styleId="43">
    <w:name w:val="annotation reference"/>
    <w:basedOn w:val="40"/>
    <w:unhideWhenUsed/>
    <w:qFormat/>
    <w:uiPriority w:val="0"/>
    <w:rPr>
      <w:sz w:val="21"/>
      <w:szCs w:val="21"/>
    </w:rPr>
  </w:style>
  <w:style w:type="character" w:customStyle="1" w:styleId="44">
    <w:name w:val="页眉 Char"/>
    <w:basedOn w:val="40"/>
    <w:link w:val="27"/>
    <w:qFormat/>
    <w:uiPriority w:val="99"/>
    <w:rPr>
      <w:sz w:val="18"/>
      <w:szCs w:val="18"/>
    </w:rPr>
  </w:style>
  <w:style w:type="character" w:customStyle="1" w:styleId="45">
    <w:name w:val="页脚 Char"/>
    <w:basedOn w:val="40"/>
    <w:link w:val="26"/>
    <w:qFormat/>
    <w:uiPriority w:val="99"/>
    <w:rPr>
      <w:sz w:val="18"/>
      <w:szCs w:val="18"/>
    </w:rPr>
  </w:style>
  <w:style w:type="paragraph" w:customStyle="1" w:styleId="46">
    <w:name w:val="aSTL正文"/>
    <w:basedOn w:val="1"/>
    <w:link w:val="47"/>
    <w:qFormat/>
    <w:uiPriority w:val="0"/>
    <w:pPr>
      <w:spacing w:line="300" w:lineRule="auto"/>
      <w:ind w:firstLine="200" w:firstLineChars="200"/>
    </w:pPr>
    <w:rPr>
      <w:rFonts w:ascii="Calibri" w:hAnsi="Calibri" w:eastAsia="宋体" w:cs="Times New Roman"/>
      <w:kern w:val="0"/>
      <w:sz w:val="24"/>
      <w:szCs w:val="20"/>
      <w:lang w:val="zh-CN"/>
    </w:rPr>
  </w:style>
  <w:style w:type="character" w:customStyle="1" w:styleId="47">
    <w:name w:val="aSTL正文 Char"/>
    <w:link w:val="46"/>
    <w:qFormat/>
    <w:uiPriority w:val="0"/>
    <w:rPr>
      <w:rFonts w:ascii="Calibri" w:hAnsi="Calibri" w:eastAsia="宋体" w:cs="Times New Roman"/>
      <w:kern w:val="0"/>
      <w:sz w:val="24"/>
      <w:szCs w:val="20"/>
      <w:lang w:val="zh-CN" w:eastAsia="zh-CN"/>
    </w:rPr>
  </w:style>
  <w:style w:type="paragraph" w:customStyle="1" w:styleId="48">
    <w:name w:val="4.1.1.1.1"/>
    <w:basedOn w:val="1"/>
    <w:link w:val="49"/>
    <w:qFormat/>
    <w:uiPriority w:val="0"/>
    <w:pPr>
      <w:tabs>
        <w:tab w:val="left" w:pos="142"/>
      </w:tabs>
      <w:spacing w:beforeLines="50" w:afterLines="50"/>
      <w:ind w:left="200" w:leftChars="200"/>
      <w:jc w:val="left"/>
      <w:outlineLvl w:val="3"/>
    </w:pPr>
    <w:rPr>
      <w:rFonts w:ascii="宋体" w:hAnsi="宋体" w:eastAsia="宋体" w:cs="Times New Roman"/>
      <w:b/>
      <w:color w:val="000000"/>
      <w:kern w:val="0"/>
      <w:sz w:val="24"/>
      <w:szCs w:val="24"/>
      <w:lang w:val="zh-CN"/>
    </w:rPr>
  </w:style>
  <w:style w:type="character" w:customStyle="1" w:styleId="49">
    <w:name w:val="4.1.1.1.1 Char"/>
    <w:link w:val="48"/>
    <w:qFormat/>
    <w:uiPriority w:val="0"/>
    <w:rPr>
      <w:rFonts w:ascii="宋体" w:hAnsi="宋体" w:eastAsia="宋体" w:cs="Times New Roman"/>
      <w:b/>
      <w:color w:val="000000"/>
      <w:kern w:val="0"/>
      <w:sz w:val="24"/>
      <w:szCs w:val="24"/>
      <w:lang w:val="zh-CN" w:eastAsia="zh-CN"/>
    </w:rPr>
  </w:style>
  <w:style w:type="paragraph" w:styleId="50">
    <w:name w:val="List Paragraph"/>
    <w:basedOn w:val="1"/>
    <w:qFormat/>
    <w:uiPriority w:val="34"/>
    <w:pPr>
      <w:ind w:firstLine="420" w:firstLineChars="200"/>
    </w:pPr>
    <w:rPr>
      <w:rFonts w:ascii="Calibri" w:hAnsi="Calibri" w:eastAsia="宋体" w:cs="Times New Roman"/>
    </w:rPr>
  </w:style>
  <w:style w:type="character" w:customStyle="1" w:styleId="51">
    <w:name w:val="批注文字 Char"/>
    <w:basedOn w:val="40"/>
    <w:link w:val="15"/>
    <w:qFormat/>
    <w:uiPriority w:val="99"/>
  </w:style>
  <w:style w:type="character" w:customStyle="1" w:styleId="52">
    <w:name w:val="批注主题 Char"/>
    <w:basedOn w:val="51"/>
    <w:link w:val="37"/>
    <w:qFormat/>
    <w:uiPriority w:val="99"/>
    <w:rPr>
      <w:b/>
      <w:bCs/>
    </w:rPr>
  </w:style>
  <w:style w:type="character" w:customStyle="1" w:styleId="53">
    <w:name w:val="批注框文本 Char"/>
    <w:basedOn w:val="40"/>
    <w:link w:val="25"/>
    <w:qFormat/>
    <w:uiPriority w:val="99"/>
    <w:rPr>
      <w:sz w:val="18"/>
      <w:szCs w:val="18"/>
    </w:rPr>
  </w:style>
  <w:style w:type="character" w:customStyle="1" w:styleId="54">
    <w:name w:val="标题 1 Char"/>
    <w:basedOn w:val="40"/>
    <w:link w:val="2"/>
    <w:qFormat/>
    <w:uiPriority w:val="99"/>
    <w:rPr>
      <w:b/>
      <w:bCs/>
      <w:kern w:val="44"/>
      <w:sz w:val="44"/>
      <w:szCs w:val="44"/>
    </w:rPr>
  </w:style>
  <w:style w:type="paragraph" w:customStyle="1" w:styleId="55">
    <w:name w:val="TOC 标题1"/>
    <w:basedOn w:val="2"/>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E75B6" w:themeColor="accent1" w:themeShade="BF"/>
      <w:kern w:val="0"/>
      <w:sz w:val="32"/>
      <w:szCs w:val="32"/>
    </w:rPr>
  </w:style>
  <w:style w:type="character" w:customStyle="1" w:styleId="56">
    <w:name w:val="标题 2 Char"/>
    <w:basedOn w:val="40"/>
    <w:link w:val="3"/>
    <w:qFormat/>
    <w:uiPriority w:val="0"/>
    <w:rPr>
      <w:rFonts w:asciiTheme="majorHAnsi" w:hAnsiTheme="majorHAnsi" w:eastAsiaTheme="majorEastAsia" w:cstheme="majorBidi"/>
      <w:b/>
      <w:bCs/>
      <w:sz w:val="32"/>
      <w:szCs w:val="32"/>
    </w:rPr>
  </w:style>
  <w:style w:type="character" w:customStyle="1" w:styleId="57">
    <w:name w:val="标题 3 Char"/>
    <w:basedOn w:val="40"/>
    <w:link w:val="4"/>
    <w:qFormat/>
    <w:uiPriority w:val="9"/>
    <w:rPr>
      <w:rFonts w:ascii="Calibri" w:hAnsi="Calibri" w:eastAsia="宋体" w:cs="Times New Roman"/>
      <w:b/>
      <w:bCs/>
      <w:szCs w:val="32"/>
    </w:rPr>
  </w:style>
  <w:style w:type="character" w:customStyle="1" w:styleId="58">
    <w:name w:val="标题 4 Char"/>
    <w:basedOn w:val="40"/>
    <w:link w:val="5"/>
    <w:qFormat/>
    <w:uiPriority w:val="9"/>
    <w:rPr>
      <w:rFonts w:ascii="Cambria" w:hAnsi="Cambria" w:eastAsia="宋体" w:cs="Times New Roman"/>
      <w:b/>
      <w:bCs/>
      <w:szCs w:val="28"/>
    </w:rPr>
  </w:style>
  <w:style w:type="character" w:customStyle="1" w:styleId="59">
    <w:name w:val="标题 5 Char"/>
    <w:basedOn w:val="40"/>
    <w:link w:val="6"/>
    <w:qFormat/>
    <w:uiPriority w:val="9"/>
    <w:rPr>
      <w:rFonts w:ascii="Calibri" w:hAnsi="Calibri" w:eastAsia="宋体" w:cs="Times New Roman"/>
      <w:b/>
      <w:bCs/>
      <w:szCs w:val="28"/>
    </w:rPr>
  </w:style>
  <w:style w:type="character" w:customStyle="1" w:styleId="60">
    <w:name w:val="标题 6 Char"/>
    <w:basedOn w:val="40"/>
    <w:link w:val="7"/>
    <w:qFormat/>
    <w:uiPriority w:val="9"/>
    <w:rPr>
      <w:rFonts w:eastAsia="宋体" w:asciiTheme="majorHAnsi" w:hAnsiTheme="majorHAnsi" w:cstheme="majorBidi"/>
      <w:b/>
      <w:bCs/>
      <w:kern w:val="0"/>
      <w:szCs w:val="24"/>
    </w:rPr>
  </w:style>
  <w:style w:type="character" w:customStyle="1" w:styleId="61">
    <w:name w:val="标题 7 Char"/>
    <w:basedOn w:val="40"/>
    <w:link w:val="8"/>
    <w:qFormat/>
    <w:uiPriority w:val="9"/>
    <w:rPr>
      <w:rFonts w:ascii="宋体" w:hAnsi="宋体" w:eastAsia="宋体" w:cs="宋体"/>
      <w:b/>
      <w:bCs/>
      <w:kern w:val="0"/>
      <w:sz w:val="24"/>
      <w:szCs w:val="24"/>
    </w:rPr>
  </w:style>
  <w:style w:type="character" w:customStyle="1" w:styleId="62">
    <w:name w:val="称呼 Char"/>
    <w:basedOn w:val="40"/>
    <w:link w:val="16"/>
    <w:qFormat/>
    <w:uiPriority w:val="99"/>
    <w:rPr>
      <w:rFonts w:ascii="Times New Roman" w:hAnsi="Times New Roman" w:eastAsia="宋体" w:cs="Times New Roman"/>
      <w:szCs w:val="21"/>
    </w:rPr>
  </w:style>
  <w:style w:type="character" w:customStyle="1" w:styleId="63">
    <w:name w:val="notnullcss1"/>
    <w:basedOn w:val="40"/>
    <w:qFormat/>
    <w:uiPriority w:val="99"/>
    <w:rPr>
      <w:rFonts w:eastAsia="宋体" w:cs="Times New Roman"/>
      <w:color w:val="FF0000"/>
      <w:kern w:val="2"/>
      <w:sz w:val="24"/>
      <w:szCs w:val="24"/>
      <w:lang w:val="en-US" w:eastAsia="zh-CN" w:bidi="ar-SA"/>
    </w:rPr>
  </w:style>
  <w:style w:type="paragraph" w:customStyle="1" w:styleId="64">
    <w:name w:val="xl61"/>
    <w:basedOn w:val="1"/>
    <w:qFormat/>
    <w:uiPriority w:val="99"/>
    <w:pPr>
      <w:widowControl/>
      <w:spacing w:before="100" w:after="100"/>
      <w:jc w:val="right"/>
    </w:pPr>
    <w:rPr>
      <w:rFonts w:ascii="Arial Unicode MS" w:hAnsi="Times New Roman" w:eastAsia="Arial Unicode MS" w:cs="Times New Roman"/>
      <w:kern w:val="0"/>
      <w:sz w:val="18"/>
      <w:szCs w:val="18"/>
    </w:rPr>
  </w:style>
  <w:style w:type="character" w:customStyle="1" w:styleId="65">
    <w:name w:val="纯文本 Char"/>
    <w:basedOn w:val="40"/>
    <w:link w:val="21"/>
    <w:qFormat/>
    <w:uiPriority w:val="0"/>
    <w:rPr>
      <w:rFonts w:ascii="宋体" w:hAnsi="Courier New" w:eastAsia="宋体" w:cs="Times New Roman"/>
      <w:szCs w:val="20"/>
    </w:rPr>
  </w:style>
  <w:style w:type="character" w:customStyle="1" w:styleId="66">
    <w:name w:val="headline-content2"/>
    <w:basedOn w:val="40"/>
    <w:qFormat/>
    <w:uiPriority w:val="0"/>
    <w:rPr>
      <w:rFonts w:eastAsia="宋体" w:cs="Times New Roman"/>
      <w:kern w:val="2"/>
      <w:sz w:val="24"/>
      <w:szCs w:val="24"/>
      <w:lang w:val="en-US" w:eastAsia="zh-CN" w:bidi="ar-SA"/>
    </w:rPr>
  </w:style>
  <w:style w:type="character" w:customStyle="1" w:styleId="67">
    <w:name w:val="正文文本 Char"/>
    <w:basedOn w:val="40"/>
    <w:link w:val="18"/>
    <w:qFormat/>
    <w:uiPriority w:val="99"/>
    <w:rPr>
      <w:rFonts w:ascii="Times New Roman" w:hAnsi="Times New Roman" w:eastAsia="宋体" w:cs="Times New Roman"/>
      <w:szCs w:val="21"/>
    </w:rPr>
  </w:style>
  <w:style w:type="paragraph" w:customStyle="1" w:styleId="68">
    <w:name w:val="write2"/>
    <w:basedOn w:val="1"/>
    <w:qFormat/>
    <w:uiPriority w:val="99"/>
    <w:pPr>
      <w:widowControl/>
      <w:tabs>
        <w:tab w:val="left" w:pos="709"/>
      </w:tabs>
      <w:overflowPunct w:val="0"/>
      <w:autoSpaceDE w:val="0"/>
      <w:autoSpaceDN w:val="0"/>
      <w:adjustRightInd w:val="0"/>
      <w:textAlignment w:val="baseline"/>
    </w:pPr>
    <w:rPr>
      <w:rFonts w:ascii="Helvetica-Narrow" w:hAnsi="Helvetica-Narrow" w:eastAsia="宋体" w:cs="Times New Roman"/>
      <w:kern w:val="0"/>
      <w:szCs w:val="24"/>
      <w:lang w:val="en-AU"/>
    </w:rPr>
  </w:style>
  <w:style w:type="character" w:customStyle="1" w:styleId="69">
    <w:name w:val="日期 Char"/>
    <w:basedOn w:val="40"/>
    <w:link w:val="23"/>
    <w:qFormat/>
    <w:uiPriority w:val="99"/>
    <w:rPr>
      <w:rFonts w:ascii="Times New Roman" w:hAnsi="Times New Roman" w:eastAsia="宋体" w:cs="Times New Roman"/>
      <w:szCs w:val="21"/>
    </w:rPr>
  </w:style>
  <w:style w:type="character" w:customStyle="1" w:styleId="70">
    <w:name w:val="注释标题 Char"/>
    <w:basedOn w:val="40"/>
    <w:link w:val="10"/>
    <w:qFormat/>
    <w:uiPriority w:val="99"/>
    <w:rPr>
      <w:rFonts w:ascii="Times New Roman" w:hAnsi="Times New Roman" w:eastAsia="宋体" w:cs="Times New Roman"/>
      <w:szCs w:val="21"/>
    </w:rPr>
  </w:style>
  <w:style w:type="paragraph" w:customStyle="1" w:styleId="71">
    <w:name w:val="标题5"/>
    <w:basedOn w:val="1"/>
    <w:qFormat/>
    <w:uiPriority w:val="0"/>
    <w:pPr>
      <w:keepNext/>
      <w:keepLines/>
      <w:spacing w:before="60" w:after="60"/>
      <w:ind w:hanging="420" w:hangingChars="200"/>
      <w:outlineLvl w:val="4"/>
    </w:pPr>
    <w:rPr>
      <w:rFonts w:ascii="宋体" w:hAnsi="宋体" w:eastAsia="宋体" w:cs="Times New Roman"/>
      <w:b/>
      <w:bCs/>
      <w:szCs w:val="21"/>
    </w:rPr>
  </w:style>
  <w:style w:type="paragraph" w:customStyle="1" w:styleId="72">
    <w:name w:val="修订1"/>
    <w:hidden/>
    <w:semiHidden/>
    <w:qFormat/>
    <w:uiPriority w:val="99"/>
    <w:rPr>
      <w:rFonts w:ascii="Calibri" w:hAnsi="Calibri" w:eastAsia="宋体" w:cs="Times New Roman"/>
      <w:kern w:val="2"/>
      <w:sz w:val="21"/>
      <w:szCs w:val="22"/>
      <w:lang w:val="en-US" w:eastAsia="zh-CN" w:bidi="ar-SA"/>
    </w:rPr>
  </w:style>
  <w:style w:type="character" w:customStyle="1" w:styleId="73">
    <w:name w:val="正文的样式 Char"/>
    <w:basedOn w:val="40"/>
    <w:link w:val="74"/>
    <w:qFormat/>
    <w:uiPriority w:val="0"/>
    <w:rPr>
      <w:szCs w:val="24"/>
    </w:rPr>
  </w:style>
  <w:style w:type="paragraph" w:customStyle="1" w:styleId="74">
    <w:name w:val="正文的样式"/>
    <w:basedOn w:val="1"/>
    <w:link w:val="73"/>
    <w:qFormat/>
    <w:uiPriority w:val="0"/>
    <w:pPr>
      <w:spacing w:before="100" w:after="100"/>
    </w:pPr>
    <w:rPr>
      <w:szCs w:val="24"/>
    </w:rPr>
  </w:style>
  <w:style w:type="character" w:customStyle="1" w:styleId="75">
    <w:name w:val="文档结构图 Char"/>
    <w:basedOn w:val="40"/>
    <w:link w:val="13"/>
    <w:semiHidden/>
    <w:qFormat/>
    <w:uiPriority w:val="99"/>
    <w:rPr>
      <w:rFonts w:ascii="宋体" w:hAnsi="Calibri" w:eastAsia="宋体" w:cs="Times New Roman"/>
      <w:sz w:val="18"/>
      <w:szCs w:val="18"/>
    </w:rPr>
  </w:style>
  <w:style w:type="character" w:styleId="76">
    <w:name w:val="Placeholder Text"/>
    <w:basedOn w:val="40"/>
    <w:semiHidden/>
    <w:qFormat/>
    <w:uiPriority w:val="99"/>
    <w:rPr>
      <w:color w:val="auto"/>
    </w:rPr>
  </w:style>
  <w:style w:type="character" w:customStyle="1" w:styleId="77">
    <w:name w:val="标题 Char"/>
    <w:basedOn w:val="40"/>
    <w:link w:val="36"/>
    <w:qFormat/>
    <w:uiPriority w:val="0"/>
    <w:rPr>
      <w:rFonts w:eastAsia="宋体" w:asciiTheme="majorHAnsi" w:hAnsiTheme="majorHAnsi" w:cstheme="majorBidi"/>
      <w:b/>
      <w:bCs/>
      <w:sz w:val="32"/>
      <w:szCs w:val="32"/>
    </w:rPr>
  </w:style>
  <w:style w:type="paragraph" w:styleId="78">
    <w:name w:val="No Spacing"/>
    <w:qFormat/>
    <w:uiPriority w:val="1"/>
    <w:pPr>
      <w:widowControl w:val="0"/>
      <w:jc w:val="both"/>
    </w:pPr>
    <w:rPr>
      <w:rFonts w:ascii="Calibri" w:hAnsi="Calibri" w:eastAsia="宋体" w:cs="Times New Roman"/>
      <w:kern w:val="2"/>
      <w:sz w:val="21"/>
      <w:szCs w:val="22"/>
      <w:lang w:val="en-US" w:eastAsia="zh-CN" w:bidi="ar-SA"/>
    </w:rPr>
  </w:style>
  <w:style w:type="character" w:customStyle="1" w:styleId="79">
    <w:name w:val="尾注文本 Char"/>
    <w:basedOn w:val="40"/>
    <w:link w:val="24"/>
    <w:semiHidden/>
    <w:qFormat/>
    <w:uiPriority w:val="99"/>
    <w:rPr>
      <w:rFonts w:ascii="宋体" w:hAnsi="宋体" w:eastAsia="宋体" w:cs="宋体"/>
      <w:kern w:val="0"/>
      <w:szCs w:val="24"/>
    </w:rPr>
  </w:style>
  <w:style w:type="character" w:customStyle="1" w:styleId="80">
    <w:name w:val="批注主题 Char1"/>
    <w:basedOn w:val="51"/>
    <w:semiHidden/>
    <w:qFormat/>
    <w:uiPriority w:val="99"/>
    <w:rPr>
      <w:rFonts w:ascii="Times New Roman" w:hAnsi="Times New Roman" w:eastAsia="宋体" w:cs="Times New Roman"/>
      <w:b/>
      <w:bCs/>
      <w:szCs w:val="21"/>
    </w:rPr>
  </w:style>
  <w:style w:type="character" w:customStyle="1" w:styleId="81">
    <w:name w:val="span_"/>
    <w:basedOn w:val="40"/>
    <w:qFormat/>
    <w:uiPriority w:val="0"/>
  </w:style>
  <w:style w:type="paragraph" w:customStyle="1" w:styleId="82">
    <w:name w:val="标题  3"/>
    <w:basedOn w:val="1"/>
    <w:next w:val="1"/>
    <w:link w:val="83"/>
    <w:qFormat/>
    <w:uiPriority w:val="0"/>
    <w:pPr>
      <w:keepNext/>
      <w:keepLines/>
      <w:spacing w:before="100" w:beforeAutospacing="1" w:after="100" w:afterAutospacing="1" w:line="415" w:lineRule="auto"/>
    </w:pPr>
    <w:rPr>
      <w:rFonts w:ascii="Times New Roman" w:hAnsi="Times New Roman" w:eastAsia="宋体" w:cs="Times New Roman"/>
      <w:b/>
      <w:szCs w:val="24"/>
    </w:rPr>
  </w:style>
  <w:style w:type="character" w:customStyle="1" w:styleId="83">
    <w:name w:val="标题  3 Char"/>
    <w:basedOn w:val="40"/>
    <w:link w:val="82"/>
    <w:qFormat/>
    <w:uiPriority w:val="0"/>
    <w:rPr>
      <w:rFonts w:ascii="Times New Roman" w:hAnsi="Times New Roman" w:eastAsia="宋体" w:cs="Times New Roman"/>
      <w:b/>
      <w:szCs w:val="24"/>
    </w:rPr>
  </w:style>
  <w:style w:type="paragraph" w:customStyle="1" w:styleId="84">
    <w:name w:val="列出段落1"/>
    <w:basedOn w:val="1"/>
    <w:qFormat/>
    <w:uiPriority w:val="0"/>
    <w:pPr>
      <w:ind w:firstLine="420" w:firstLineChars="200"/>
    </w:pPr>
    <w:rPr>
      <w:rFonts w:ascii="Calibri" w:hAnsi="Calibri" w:eastAsia="宋体" w:cs="Calibri"/>
      <w:szCs w:val="21"/>
    </w:rPr>
  </w:style>
  <w:style w:type="paragraph" w:customStyle="1" w:styleId="85">
    <w:name w:val="报告正文格式1"/>
    <w:basedOn w:val="1"/>
    <w:qFormat/>
    <w:uiPriority w:val="0"/>
    <w:pPr>
      <w:spacing w:line="360" w:lineRule="auto"/>
      <w:ind w:firstLine="200" w:firstLineChars="200"/>
      <w:jc w:val="left"/>
    </w:pPr>
    <w:rPr>
      <w:rFonts w:ascii="Times New Roman" w:hAnsi="Times New Roman" w:eastAsia="仿宋" w:cs="Times New Roman"/>
      <w:bCs/>
      <w:sz w:val="24"/>
      <w:szCs w:val="24"/>
    </w:rPr>
  </w:style>
  <w:style w:type="character" w:customStyle="1" w:styleId="86">
    <w:name w:val="正文文本 2 Char"/>
    <w:basedOn w:val="40"/>
    <w:link w:val="33"/>
    <w:qFormat/>
    <w:uiPriority w:val="99"/>
    <w:rPr>
      <w:rFonts w:asciiTheme="minorHAnsi" w:hAnsiTheme="minorHAnsi" w:eastAsiaTheme="minorEastAsia" w:cstheme="minorBidi"/>
      <w:kern w:val="2"/>
      <w:sz w:val="21"/>
      <w:szCs w:val="2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3.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relations xmlns="http://www.yonyou.com/relation"/>
</file>

<file path=customXml/item3.xml><?xml version="1.0" encoding="utf-8"?>
<dataSourceCollection xmlns="http://www.yonyou.com/datasource"/>
</file>

<file path=customXml/itemProps1.xml><?xml version="1.0" encoding="utf-8"?>
<ds:datastoreItem xmlns:ds="http://schemas.openxmlformats.org/officeDocument/2006/customXml" ds:itemID="{1BBA62A9-68B3-41B7-B599-43E1205D0E6E}">
  <ds:schemaRefs/>
</ds:datastoreItem>
</file>

<file path=customXml/itemProps2.xml><?xml version="1.0" encoding="utf-8"?>
<ds:datastoreItem xmlns:ds="http://schemas.openxmlformats.org/officeDocument/2006/customXml" ds:itemID="{C5D7E463-A10F-494B-AAC3-043C8AA8F383}">
  <ds:schemaRefs/>
</ds:datastoreItem>
</file>

<file path=customXml/itemProps3.xml><?xml version="1.0" encoding="utf-8"?>
<ds:datastoreItem xmlns:ds="http://schemas.openxmlformats.org/officeDocument/2006/customXml" ds:itemID="{6BC0C85B-024C-49A1-89CA-1A1A3B0F4157}">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9</Pages>
  <Words>3580</Words>
  <Characters>3691</Characters>
  <Lines>26</Lines>
  <Paragraphs>7</Paragraphs>
  <TotalTime>10</TotalTime>
  <ScaleCrop>false</ScaleCrop>
  <LinksUpToDate>false</LinksUpToDate>
  <CharactersWithSpaces>3697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2016-05-21T03:42:00Z</dcterms:created>
  <dc:creator>Meng Tang</dc:creator>
  <cp:lastModifiedBy>嗯。</cp:lastModifiedBy>
  <cp:lastPrinted>2023-10-23T14:54:00Z</cp:lastPrinted>
  <dcterms:modified xsi:type="dcterms:W3CDTF">2025-12-11T08:19:12Z</dcterms:modified>
  <cp:revision>214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eyJoZGlkIjoiNTFmYjgyZmYwMDY5ODUzMWE0ZTEyM2IxOTMyN2FjNzgiLCJ1c2VySWQiOiIyNDI5MDE4NzkifQ==</vt:lpwstr>
  </property>
  <property fmtid="{D5CDD505-2E9C-101B-9397-08002B2CF9AE}" pid="4" name="ICV">
    <vt:lpwstr>097B6A0A8CD141648F5D392B179397C1_13</vt:lpwstr>
  </property>
</Properties>
</file>